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32" w:rsidRPr="00151712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151712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C1AE8" w:rsidRPr="00151712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151712">
        <w:rPr>
          <w:rFonts w:ascii="Times New Roman" w:hAnsi="Times New Roman" w:cs="Times New Roman"/>
          <w:sz w:val="28"/>
          <w:szCs w:val="28"/>
          <w:lang w:val="uk-UA"/>
        </w:rPr>
        <w:t>Наказ Північно-Східного міжрегіонального управління Державної служби з питань праці</w:t>
      </w:r>
    </w:p>
    <w:p w:rsidR="00223DC5" w:rsidRPr="00C6729F" w:rsidRDefault="00223DC5" w:rsidP="00C6729F">
      <w:pPr>
        <w:pStyle w:val="21"/>
        <w:shd w:val="clear" w:color="auto" w:fill="auto"/>
        <w:ind w:left="0" w:firstLine="5245"/>
        <w:rPr>
          <w:u w:val="single"/>
        </w:rPr>
      </w:pPr>
      <w:bookmarkStart w:id="0" w:name="_GoBack"/>
      <w:bookmarkEnd w:id="0"/>
      <w:r>
        <w:rPr>
          <w:lang w:val="uk-UA"/>
        </w:rPr>
        <w:t xml:space="preserve">від </w:t>
      </w:r>
      <w:r w:rsidR="00C6729F">
        <w:rPr>
          <w:u w:val="single"/>
        </w:rPr>
        <w:t>23.06.2023</w:t>
      </w:r>
      <w:r w:rsidR="00C6729F">
        <w:t xml:space="preserve"> № </w:t>
      </w:r>
      <w:r w:rsidR="00C6729F">
        <w:rPr>
          <w:u w:val="single"/>
        </w:rPr>
        <w:t>340/ПНС</w:t>
      </w:r>
    </w:p>
    <w:p w:rsidR="001C1AE8" w:rsidRPr="00151712" w:rsidRDefault="001C1AE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1AE8" w:rsidRPr="00151712" w:rsidRDefault="000C5518" w:rsidP="000C55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1712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КАРТКА</w:t>
      </w:r>
    </w:p>
    <w:p w:rsidR="000C5518" w:rsidRPr="00151712" w:rsidRDefault="00151712" w:rsidP="00D369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1712">
        <w:rPr>
          <w:rFonts w:ascii="Times New Roman" w:hAnsi="Times New Roman" w:cs="Times New Roman"/>
          <w:b/>
          <w:sz w:val="28"/>
          <w:szCs w:val="28"/>
          <w:lang w:val="uk-UA" w:eastAsia="uk-UA"/>
        </w:rPr>
        <w:t>адміністративної послуги з перереєстра</w:t>
      </w:r>
      <w:r w:rsidRPr="00151712">
        <w:rPr>
          <w:rFonts w:ascii="Times New Roman" w:hAnsi="Times New Roman" w:cs="Times New Roman"/>
          <w:b/>
          <w:sz w:val="28"/>
          <w:szCs w:val="28"/>
          <w:lang w:val="uk-UA"/>
        </w:rPr>
        <w:t>ції великотоннажних та інших технологічних транспортних засобів</w:t>
      </w:r>
    </w:p>
    <w:p w:rsidR="000C5518" w:rsidRPr="00151712" w:rsidRDefault="000C551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518" w:rsidRPr="00151712" w:rsidRDefault="00817213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151712">
        <w:rPr>
          <w:rFonts w:ascii="Times New Roman" w:hAnsi="Times New Roman" w:cs="Times New Roman"/>
          <w:sz w:val="24"/>
          <w:szCs w:val="24"/>
          <w:u w:val="single"/>
          <w:lang w:val="uk-UA"/>
        </w:rPr>
        <w:t>Північно-Східне міжрегіональне управління Державної служби з питань праці</w:t>
      </w:r>
    </w:p>
    <w:p w:rsidR="00817213" w:rsidRPr="00151712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51712">
        <w:rPr>
          <w:rFonts w:ascii="Times New Roman" w:hAnsi="Times New Roman" w:cs="Times New Roman"/>
          <w:sz w:val="18"/>
          <w:szCs w:val="18"/>
          <w:lang w:val="uk-UA"/>
        </w:rPr>
        <w:t>(найменування суб’єкта надання адміністративної послуги</w:t>
      </w:r>
    </w:p>
    <w:p w:rsidR="007232C1" w:rsidRPr="00151712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17213" w:rsidRPr="00151712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5171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Департамент адміністративних послуг та споживчого ринку Харківської міської ради </w:t>
      </w:r>
    </w:p>
    <w:p w:rsidR="000C5518" w:rsidRPr="00151712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51712">
        <w:rPr>
          <w:rFonts w:ascii="Times New Roman" w:hAnsi="Times New Roman" w:cs="Times New Roman"/>
          <w:sz w:val="18"/>
          <w:szCs w:val="18"/>
          <w:lang w:val="uk-UA"/>
        </w:rPr>
        <w:t>та/або центра надання адміністративних послуг)</w:t>
      </w:r>
    </w:p>
    <w:p w:rsidR="007232C1" w:rsidRPr="00151712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32C1" w:rsidRPr="00151712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51712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адміністративних послуг Полтавської міської ради</w:t>
      </w:r>
    </w:p>
    <w:p w:rsidR="007232C1" w:rsidRPr="00151712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7232C1" w:rsidRPr="00151712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51712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«Центр надання адміністративних послуг у м. Суми» Сумської міської ради</w:t>
      </w:r>
    </w:p>
    <w:p w:rsidR="000C5518" w:rsidRPr="00151712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C5518" w:rsidRPr="00151712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108"/>
        <w:gridCol w:w="5781"/>
      </w:tblGrid>
      <w:tr w:rsidR="000C5518" w:rsidRPr="00151712" w:rsidTr="00123DBA">
        <w:tc>
          <w:tcPr>
            <w:tcW w:w="9345" w:type="dxa"/>
            <w:gridSpan w:val="3"/>
          </w:tcPr>
          <w:p w:rsidR="000C5518" w:rsidRPr="00151712" w:rsidRDefault="000C5518" w:rsidP="008172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517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0C5518" w:rsidRPr="00151712" w:rsidTr="004335D5">
        <w:tc>
          <w:tcPr>
            <w:tcW w:w="456" w:type="dxa"/>
          </w:tcPr>
          <w:p w:rsidR="000C5518" w:rsidRPr="00151712" w:rsidRDefault="00817213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8" w:type="dxa"/>
          </w:tcPr>
          <w:p w:rsidR="000C5518" w:rsidRPr="00151712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1A0092" w:rsidRPr="008759BF" w:rsidRDefault="001A0092" w:rsidP="001A0092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Північно-Східне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міжрегіональне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  <w:p w:rsidR="001A0092" w:rsidRPr="008759BF" w:rsidRDefault="001A0092" w:rsidP="001A0092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36014,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Полтавська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Полтава,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Пушкіна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, буд. 119.</w:t>
            </w:r>
          </w:p>
          <w:p w:rsidR="001A0092" w:rsidRPr="008759BF" w:rsidRDefault="001A0092" w:rsidP="001A0092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92" w:rsidRPr="008759BF" w:rsidRDefault="001A0092" w:rsidP="001A0092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споживчого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ринку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1A0092" w:rsidRPr="008759BF" w:rsidRDefault="001A0092" w:rsidP="001A0092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61010,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Гімназійна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набережна, буд. 26.</w:t>
            </w:r>
          </w:p>
          <w:p w:rsidR="001A0092" w:rsidRPr="008759BF" w:rsidRDefault="001A0092" w:rsidP="001A0092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92" w:rsidRPr="008759BF" w:rsidRDefault="001A0092" w:rsidP="001A0092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Полтавської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1A0092" w:rsidRPr="008759BF" w:rsidRDefault="001A0092" w:rsidP="001A0092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36000,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Полтавська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Полтава,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, буд. 36.</w:t>
            </w:r>
          </w:p>
          <w:p w:rsidR="001A0092" w:rsidRPr="008759BF" w:rsidRDefault="001A0092" w:rsidP="001A0092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92" w:rsidRPr="008759BF" w:rsidRDefault="001A0092" w:rsidP="001A0092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у м.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DE6671" w:rsidRPr="00151712" w:rsidRDefault="001A0092" w:rsidP="001A00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40013,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Британська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, буд. 21</w:t>
            </w:r>
            <w:r w:rsidRPr="0092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C5518" w:rsidRPr="00151712" w:rsidTr="004335D5">
        <w:tc>
          <w:tcPr>
            <w:tcW w:w="456" w:type="dxa"/>
          </w:tcPr>
          <w:p w:rsidR="000C5518" w:rsidRPr="00151712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8" w:type="dxa"/>
          </w:tcPr>
          <w:p w:rsidR="000C5518" w:rsidRPr="00151712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DE6671" w:rsidRPr="00151712" w:rsidRDefault="00DE6671" w:rsidP="00410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DE6671" w:rsidRPr="00151712" w:rsidRDefault="00DE6671" w:rsidP="0041097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151712" w:rsidRDefault="00DE6671" w:rsidP="0041097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151712" w:rsidRDefault="00DE6671" w:rsidP="004109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обідня перерва з 12</w:t>
            </w:r>
            <w:r w:rsidR="001A00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="001A00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13</w:t>
            </w:r>
            <w:r w:rsidR="001A00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="00DF0DA4"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151712" w:rsidRDefault="00DE6671" w:rsidP="00410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151712" w:rsidRDefault="00DE6671" w:rsidP="00410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E6671" w:rsidRPr="00151712" w:rsidRDefault="00DE6671" w:rsidP="0041097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9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18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151712" w:rsidRDefault="00DE6671" w:rsidP="0041097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>вівторок, четвер з 9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E6671" w:rsidRPr="00151712" w:rsidRDefault="00DE6671" w:rsidP="0041097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п'ятниця з </w:t>
            </w:r>
            <w:r w:rsidR="00D90A11"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9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</w:t>
            </w:r>
            <w:r w:rsidR="00D90A11"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16</w:t>
            </w:r>
            <w:r w:rsidR="00D90A11"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151712" w:rsidRDefault="00D90A11" w:rsidP="0041097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151712" w:rsidRDefault="00D90A11" w:rsidP="004109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технологічна</w:t>
            </w:r>
            <w:r w:rsidR="00DE6671"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перерва з 1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="00DE6671"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E6671"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 xml:space="preserve">45 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(субота 12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12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40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)</w:t>
            </w:r>
            <w:r w:rsidR="00DF0DA4"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151712" w:rsidRDefault="00DE6671" w:rsidP="00410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151712" w:rsidRDefault="00DE6671" w:rsidP="00410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90A11" w:rsidRPr="00151712" w:rsidRDefault="00D90A11" w:rsidP="0041097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151712" w:rsidRDefault="00D90A11" w:rsidP="0041097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90A11" w:rsidRPr="00151712" w:rsidRDefault="00D90A11" w:rsidP="00410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151712" w:rsidRDefault="00DE6671" w:rsidP="00410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151712" w:rsidRDefault="00D90A11" w:rsidP="0041097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8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151712" w:rsidRDefault="00D90A11" w:rsidP="0041097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8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151712" w:rsidRDefault="00D90A11" w:rsidP="0041097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0C5518" w:rsidRPr="00151712" w:rsidRDefault="00D90A11" w:rsidP="0041097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14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C5518" w:rsidRPr="00151712" w:rsidTr="004335D5">
        <w:tc>
          <w:tcPr>
            <w:tcW w:w="456" w:type="dxa"/>
          </w:tcPr>
          <w:p w:rsidR="000C5518" w:rsidRPr="00151712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108" w:type="dxa"/>
          </w:tcPr>
          <w:p w:rsidR="000C5518" w:rsidRPr="00151712" w:rsidRDefault="003E7C30" w:rsidP="00124FED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</w:t>
            </w:r>
            <w:proofErr w:type="spellEnd"/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D90A11" w:rsidRPr="00151712" w:rsidRDefault="00D90A11" w:rsidP="00410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410973" w:rsidRDefault="00410973" w:rsidP="00410973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</w:t>
            </w:r>
            <w:r w:rsidRPr="007A33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7A3311">
              <w:rPr>
                <w:rFonts w:ascii="Times New Roman" w:hAnsi="Times New Roman" w:cs="Times New Roman"/>
                <w:sz w:val="24"/>
                <w:szCs w:val="24"/>
              </w:rPr>
              <w:t>700-76-67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</w:t>
            </w:r>
            <w:r w:rsidRPr="007A3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7A3311">
              <w:rPr>
                <w:rFonts w:ascii="Times New Roman" w:hAnsi="Times New Roman" w:cs="Times New Roman"/>
                <w:sz w:val="24"/>
                <w:szCs w:val="24"/>
              </w:rPr>
              <w:t>56-40-76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(0542) 22-55-02</w:t>
            </w:r>
          </w:p>
          <w:p w:rsidR="00D90A11" w:rsidRDefault="00410973" w:rsidP="00410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адреса: </w:t>
            </w:r>
            <w:r w:rsidRPr="004109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khrkv@dsp.gov.ua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10973" w:rsidRPr="00151712" w:rsidRDefault="00410973" w:rsidP="00410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151712" w:rsidRDefault="00D90A11" w:rsidP="00410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90A11" w:rsidRPr="00151712" w:rsidRDefault="00D90A11" w:rsidP="00410973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(057) 725-29-21,</w:t>
            </w:r>
          </w:p>
          <w:p w:rsidR="00D90A11" w:rsidRPr="00151712" w:rsidRDefault="00D90A11" w:rsidP="004109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="00DF0DA4"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dpsr</w:t>
            </w: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DF0DA4"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citynet.kharkov</w:t>
            </w: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.ua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151712" w:rsidRDefault="00D90A11" w:rsidP="00410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вебсайт</w:t>
            </w:r>
            <w:proofErr w:type="spellEnd"/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: </w:t>
            </w: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="00DF0DA4"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ppr.kharkov.ua/ua.</w:t>
            </w:r>
          </w:p>
          <w:p w:rsidR="00D90A11" w:rsidRPr="00151712" w:rsidRDefault="00D90A11" w:rsidP="00410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151712" w:rsidRDefault="00D90A11" w:rsidP="00410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F0DA4" w:rsidRPr="00151712" w:rsidRDefault="00DF0DA4" w:rsidP="00410973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(05322) 2-05-65, (0532) 56-15-56</w:t>
            </w:r>
          </w:p>
          <w:p w:rsidR="00DF0DA4" w:rsidRPr="00151712" w:rsidRDefault="00DF0DA4" w:rsidP="004109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upravlinnya</w:t>
            </w: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@cnap-pl.gov.ua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F0DA4" w:rsidRPr="00151712" w:rsidRDefault="00DF0DA4" w:rsidP="00410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вебсайт</w:t>
            </w:r>
            <w:proofErr w:type="spellEnd"/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: </w:t>
            </w: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http://cnap-pl.gov.ua.</w:t>
            </w:r>
          </w:p>
          <w:p w:rsidR="00D90A11" w:rsidRPr="00151712" w:rsidRDefault="00D90A11" w:rsidP="00410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151712" w:rsidRDefault="00D90A11" w:rsidP="00410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151712" w:rsidRDefault="00D90A11" w:rsidP="00410973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(0542) 700-574, (0542) 700-575</w:t>
            </w:r>
            <w:r w:rsidR="00DF0DA4"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90A11" w:rsidRPr="00151712" w:rsidRDefault="00D90A11" w:rsidP="004109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cnap@smr.gov.ua</w:t>
            </w:r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0C5518" w:rsidRPr="00151712" w:rsidRDefault="00D90A11" w:rsidP="00410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вебсайт</w:t>
            </w:r>
            <w:proofErr w:type="spellEnd"/>
            <w:r w:rsidRPr="00151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: </w:t>
            </w: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Pr="0015171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cnap.sumy.ua</w:t>
            </w:r>
            <w:r w:rsidR="00DF0DA4" w:rsidRPr="0015171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E7C30" w:rsidRPr="00151712" w:rsidTr="00490EE3">
        <w:tc>
          <w:tcPr>
            <w:tcW w:w="9345" w:type="dxa"/>
            <w:gridSpan w:val="3"/>
          </w:tcPr>
          <w:p w:rsidR="003E7C30" w:rsidRPr="00151712" w:rsidRDefault="00DF0DA4" w:rsidP="00DF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C5518" w:rsidRPr="00151712" w:rsidTr="004335D5">
        <w:tc>
          <w:tcPr>
            <w:tcW w:w="456" w:type="dxa"/>
          </w:tcPr>
          <w:p w:rsidR="000C5518" w:rsidRPr="00151712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08" w:type="dxa"/>
          </w:tcPr>
          <w:p w:rsidR="000C5518" w:rsidRPr="00151712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781" w:type="dxa"/>
          </w:tcPr>
          <w:p w:rsidR="00DF0DA4" w:rsidRPr="00151712" w:rsidRDefault="00755A0E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дорожній рух»;</w:t>
            </w:r>
          </w:p>
          <w:p w:rsidR="00DF0DA4" w:rsidRPr="00151712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адміністративні послуги».</w:t>
            </w:r>
          </w:p>
        </w:tc>
      </w:tr>
      <w:tr w:rsidR="000C5518" w:rsidRPr="00C6729F" w:rsidTr="004335D5">
        <w:tc>
          <w:tcPr>
            <w:tcW w:w="456" w:type="dxa"/>
          </w:tcPr>
          <w:p w:rsidR="000C5518" w:rsidRPr="00151712" w:rsidRDefault="00FF7AEE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08" w:type="dxa"/>
          </w:tcPr>
          <w:p w:rsidR="000C5518" w:rsidRPr="00151712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781" w:type="dxa"/>
          </w:tcPr>
          <w:p w:rsidR="00964F67" w:rsidRDefault="00755A0E" w:rsidP="00964F6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Постанова Кабінету Міністрів України від 06.01.2010 № 8 «Про затвердження порядку відомчої реєстрації та ведення обліку великотоннажних та інших технологічних транспортних засобів» (далі – Порядок);</w:t>
            </w:r>
          </w:p>
          <w:p w:rsidR="00B10534" w:rsidRPr="00151712" w:rsidRDefault="001B7495" w:rsidP="0096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10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останова Кабінету Міністрів України від 11.02.2015 № 96 «</w:t>
            </w:r>
            <w:r w:rsidR="00B105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затвердження Положення про Державну службу України з питань праці</w:t>
            </w:r>
            <w:r w:rsidR="00B10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FF7AEE" w:rsidRPr="00151712" w:rsidRDefault="001B7495" w:rsidP="0096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FF7AEE"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озпорядження Кабінету Міністрів України від 16.05.2014 № 523-р «Деякі питання надання </w:t>
            </w:r>
            <w:r w:rsidR="00FF7AEE"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адміністративних послуг органів виконавчої влади через центри надання адміністративних послуг».</w:t>
            </w:r>
          </w:p>
        </w:tc>
      </w:tr>
      <w:tr w:rsidR="00FF7AEE" w:rsidRPr="00151712" w:rsidTr="00171140">
        <w:tc>
          <w:tcPr>
            <w:tcW w:w="9345" w:type="dxa"/>
            <w:gridSpan w:val="3"/>
          </w:tcPr>
          <w:p w:rsidR="00FF7AEE" w:rsidRPr="00151712" w:rsidRDefault="00FF7AEE" w:rsidP="00F80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151712" w:rsidRPr="00C6729F" w:rsidTr="004335D5">
        <w:tc>
          <w:tcPr>
            <w:tcW w:w="456" w:type="dxa"/>
          </w:tcPr>
          <w:p w:rsidR="00151712" w:rsidRPr="00151712" w:rsidRDefault="00151712" w:rsidP="00151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08" w:type="dxa"/>
          </w:tcPr>
          <w:p w:rsidR="00151712" w:rsidRPr="00151712" w:rsidRDefault="00151712" w:rsidP="001517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5781" w:type="dxa"/>
          </w:tcPr>
          <w:p w:rsidR="00151712" w:rsidRPr="00151712" w:rsidRDefault="00151712" w:rsidP="00151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Звернення юридичних та фізичних осіб, які є власниками технологічних транспортних засобів, або використовують їх на законних підставах (далі – заявник) у разі настання обставин, у зв'язку з якими виникла потреба у внесенні змін у реєстраційні документи а саме:</w:t>
            </w:r>
          </w:p>
          <w:p w:rsidR="00151712" w:rsidRPr="00151712" w:rsidRDefault="00151712" w:rsidP="0015171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зміна найменування чи імені власника,</w:t>
            </w:r>
          </w:p>
          <w:p w:rsidR="00151712" w:rsidRPr="00151712" w:rsidRDefault="00151712" w:rsidP="0015171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зміна форми власності,</w:t>
            </w:r>
          </w:p>
          <w:p w:rsidR="00151712" w:rsidRPr="00151712" w:rsidRDefault="00151712" w:rsidP="0015171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зміна місця знаходження органу управління юридичної особи чи місця проживання або перебування фізичної особи - власника ТТЗ;</w:t>
            </w:r>
          </w:p>
          <w:p w:rsidR="00151712" w:rsidRPr="00151712" w:rsidRDefault="00151712" w:rsidP="0015171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втрата або непридатність до подальшого використання свідоцтва про реєстрацію;</w:t>
            </w:r>
          </w:p>
          <w:p w:rsidR="00151712" w:rsidRDefault="00151712" w:rsidP="0015171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зміна вузлів та агрегатів, що мають ідентифікаційні номери;</w:t>
            </w:r>
          </w:p>
          <w:p w:rsidR="00151712" w:rsidRPr="00151712" w:rsidRDefault="00151712" w:rsidP="0015171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переобладнання технологічного транспортного засобу за умови проведення фахівцями експертної організації технічного огляду та в інших випадках, передбачених </w:t>
            </w: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Порядком</w:t>
            </w:r>
            <w:r w:rsidRPr="0015171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відомчої реєстрації та ведення обліку великотоннажних та інших технологічних транспортних засобів затверджених постановою Кабінету Міністрів України від 06.01.2010 № 8 «Про затвердження порядку відомчої реєстрації та ведення обліку великотоннажних та інших технологічн</w:t>
            </w:r>
            <w:r w:rsidR="007877F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их транспортних засобів» (далі </w:t>
            </w:r>
            <w:r w:rsidR="007877F0" w:rsidRPr="0015171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uk-UA"/>
              </w:rPr>
              <w:t>–</w:t>
            </w:r>
            <w:r w:rsidR="007877F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uk-UA"/>
              </w:rPr>
              <w:t xml:space="preserve"> </w:t>
            </w:r>
            <w:r w:rsidRPr="0015171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Порядок)</w:t>
            </w:r>
            <w:r w:rsidRPr="001517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</w:t>
            </w:r>
          </w:p>
        </w:tc>
      </w:tr>
      <w:tr w:rsidR="00151712" w:rsidRPr="00C6729F" w:rsidTr="004335D5">
        <w:tc>
          <w:tcPr>
            <w:tcW w:w="456" w:type="dxa"/>
          </w:tcPr>
          <w:p w:rsidR="00151712" w:rsidRPr="00151712" w:rsidRDefault="00151712" w:rsidP="00151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08" w:type="dxa"/>
          </w:tcPr>
          <w:p w:rsidR="00151712" w:rsidRPr="00151712" w:rsidRDefault="00151712" w:rsidP="001517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781" w:type="dxa"/>
          </w:tcPr>
          <w:p w:rsidR="00151712" w:rsidRPr="00151712" w:rsidRDefault="00151712" w:rsidP="00151712">
            <w:p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1.Письмова заява власника (за зразком згідно з додатком 1 і 2 до Порядку).</w:t>
            </w:r>
          </w:p>
          <w:p w:rsidR="00151712" w:rsidRPr="00151712" w:rsidRDefault="00151712" w:rsidP="00151712">
            <w:p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2. Свідоцтво про реєстрацію великотоннажного транспортного засобу або іншого технологічного транспортного засобу.</w:t>
            </w:r>
          </w:p>
          <w:p w:rsidR="00151712" w:rsidRPr="00151712" w:rsidRDefault="00151712" w:rsidP="00151712">
            <w:p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3.Акт технічного огляду технологічного транспортного засобу.</w:t>
            </w:r>
          </w:p>
          <w:p w:rsidR="00151712" w:rsidRPr="00151712" w:rsidRDefault="00151712" w:rsidP="00151712">
            <w:p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-2"/>
                <w:sz w:val="24"/>
                <w:szCs w:val="24"/>
                <w:lang w:val="uk-UA" w:eastAsia="uk-UA" w:bidi="uk-UA"/>
              </w:rPr>
            </w:pPr>
            <w:r w:rsidRPr="00151712">
              <w:rPr>
                <w:rFonts w:ascii="Times New Roman" w:eastAsia="Courier New" w:hAnsi="Times New Roman" w:cs="Times New Roman"/>
                <w:color w:val="000000"/>
                <w:spacing w:val="-2"/>
                <w:sz w:val="24"/>
                <w:szCs w:val="24"/>
                <w:lang w:val="uk-UA" w:eastAsia="uk-UA" w:bidi="uk-UA"/>
              </w:rPr>
              <w:t>До перереєстрації технологічного транспортного засобу з метою звірки відповідності ідентифікаційних номерів обліковим даним і перевірки технічного стану проводиться його технічний огляд.</w:t>
            </w:r>
          </w:p>
          <w:p w:rsidR="00151712" w:rsidRPr="00151712" w:rsidRDefault="00151712" w:rsidP="001517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eastAsia="Courier New" w:hAnsi="Times New Roman" w:cs="Times New Roman"/>
                <w:color w:val="000000"/>
                <w:spacing w:val="-2"/>
                <w:sz w:val="24"/>
                <w:szCs w:val="24"/>
                <w:lang w:val="uk-UA" w:eastAsia="uk-UA" w:bidi="uk-UA"/>
              </w:rPr>
              <w:t xml:space="preserve">Реєстрація, перереєстрація, тимчасова реєстрація, взяття на облік та зняття з обліку технологічного транспортного засобу здійснюється після перевірки територіальними органами </w:t>
            </w:r>
            <w:proofErr w:type="spellStart"/>
            <w:r w:rsidRPr="00151712">
              <w:rPr>
                <w:rFonts w:ascii="Times New Roman" w:eastAsia="Courier New" w:hAnsi="Times New Roman" w:cs="Times New Roman"/>
                <w:color w:val="000000"/>
                <w:spacing w:val="-2"/>
                <w:sz w:val="24"/>
                <w:szCs w:val="24"/>
                <w:lang w:val="uk-UA" w:eastAsia="uk-UA" w:bidi="uk-UA"/>
              </w:rPr>
              <w:t>Держпраці</w:t>
            </w:r>
            <w:proofErr w:type="spellEnd"/>
            <w:r w:rsidRPr="00151712">
              <w:rPr>
                <w:rFonts w:ascii="Times New Roman" w:eastAsia="Courier New" w:hAnsi="Times New Roman" w:cs="Times New Roman"/>
                <w:color w:val="000000"/>
                <w:spacing w:val="-2"/>
                <w:sz w:val="24"/>
                <w:szCs w:val="24"/>
                <w:lang w:val="uk-UA" w:eastAsia="uk-UA" w:bidi="uk-UA"/>
              </w:rPr>
              <w:t xml:space="preserve"> наявності обтяжень машини за даними Державного реєстру обтяжень рухомого майна. Реєстрація, перереєстрація, тимчасова реєстрація та взяття на облік технологічного транспортного засобу, який перебуває у податковій заставі, заставі, під арештом або є предметом іншого обтяження, здійснюється виключно за умови надання письмової згоди всіх виявлених </w:t>
            </w:r>
            <w:proofErr w:type="spellStart"/>
            <w:r w:rsidRPr="00151712">
              <w:rPr>
                <w:rFonts w:ascii="Times New Roman" w:eastAsia="Courier New" w:hAnsi="Times New Roman" w:cs="Times New Roman"/>
                <w:color w:val="000000"/>
                <w:spacing w:val="-2"/>
                <w:sz w:val="24"/>
                <w:szCs w:val="24"/>
                <w:lang w:val="uk-UA" w:eastAsia="uk-UA" w:bidi="uk-UA"/>
              </w:rPr>
              <w:t>обтяжувачів</w:t>
            </w:r>
            <w:proofErr w:type="spellEnd"/>
            <w:r w:rsidRPr="00151712">
              <w:rPr>
                <w:rFonts w:ascii="Times New Roman" w:eastAsia="Courier New" w:hAnsi="Times New Roman" w:cs="Times New Roman"/>
                <w:color w:val="000000"/>
                <w:spacing w:val="-2"/>
                <w:sz w:val="24"/>
                <w:szCs w:val="24"/>
                <w:lang w:val="uk-UA" w:eastAsia="uk-UA" w:bidi="uk-UA"/>
              </w:rPr>
              <w:t>.</w:t>
            </w:r>
            <w:bookmarkStart w:id="1" w:name="n507"/>
            <w:bookmarkEnd w:id="1"/>
          </w:p>
        </w:tc>
      </w:tr>
      <w:tr w:rsidR="00151712" w:rsidRPr="00151712" w:rsidTr="004335D5">
        <w:tc>
          <w:tcPr>
            <w:tcW w:w="456" w:type="dxa"/>
          </w:tcPr>
          <w:p w:rsidR="00151712" w:rsidRPr="00151712" w:rsidRDefault="00151712" w:rsidP="00151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108" w:type="dxa"/>
          </w:tcPr>
          <w:p w:rsidR="00151712" w:rsidRPr="00151712" w:rsidRDefault="00151712" w:rsidP="001517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81" w:type="dxa"/>
          </w:tcPr>
          <w:p w:rsidR="00151712" w:rsidRPr="00151712" w:rsidRDefault="00E93A42" w:rsidP="00151712">
            <w:pPr>
              <w:spacing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1pt"/>
                <w:rFonts w:eastAsia="Calibri"/>
                <w:sz w:val="24"/>
                <w:szCs w:val="24"/>
              </w:rPr>
              <w:t xml:space="preserve">Документи подаються заявником або уповноваженою ним особою </w:t>
            </w:r>
            <w:r w:rsidRPr="006B3EAF">
              <w:rPr>
                <w:rStyle w:val="11pt"/>
                <w:rFonts w:eastAsia="Calibri"/>
                <w:sz w:val="24"/>
                <w:szCs w:val="24"/>
              </w:rPr>
              <w:t xml:space="preserve">адміністратору </w:t>
            </w:r>
            <w:r>
              <w:rPr>
                <w:rStyle w:val="11pt"/>
                <w:rFonts w:eastAsia="Calibri"/>
                <w:sz w:val="24"/>
                <w:szCs w:val="24"/>
              </w:rPr>
              <w:t>ЦНАП особисто</w:t>
            </w:r>
            <w:r w:rsidRPr="006B3EAF">
              <w:rPr>
                <w:rStyle w:val="11pt"/>
                <w:rFonts w:eastAsia="Calibri"/>
                <w:sz w:val="24"/>
                <w:szCs w:val="24"/>
              </w:rPr>
              <w:t xml:space="preserve"> або поштовим відправленням </w:t>
            </w:r>
            <w:r>
              <w:rPr>
                <w:rStyle w:val="11pt"/>
                <w:rFonts w:eastAsia="Calibri"/>
                <w:sz w:val="24"/>
                <w:szCs w:val="24"/>
              </w:rPr>
              <w:t>або в електронному вигляді через Портал електронних сервісів Мінекономіки.</w:t>
            </w:r>
          </w:p>
        </w:tc>
      </w:tr>
      <w:tr w:rsidR="00151712" w:rsidRPr="00151712" w:rsidTr="004335D5">
        <w:tc>
          <w:tcPr>
            <w:tcW w:w="456" w:type="dxa"/>
          </w:tcPr>
          <w:p w:rsidR="00151712" w:rsidRPr="00151712" w:rsidRDefault="00151712" w:rsidP="00151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8" w:type="dxa"/>
          </w:tcPr>
          <w:p w:rsidR="00151712" w:rsidRPr="00151712" w:rsidRDefault="00151712" w:rsidP="001517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81" w:type="dxa"/>
          </w:tcPr>
          <w:p w:rsidR="00151712" w:rsidRPr="00151712" w:rsidRDefault="00151712" w:rsidP="00151712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517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Безоплатно</w:t>
            </w:r>
          </w:p>
          <w:p w:rsidR="00151712" w:rsidRPr="00151712" w:rsidRDefault="00151712" w:rsidP="001517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1712" w:rsidRPr="00151712" w:rsidTr="004335D5">
        <w:tc>
          <w:tcPr>
            <w:tcW w:w="456" w:type="dxa"/>
          </w:tcPr>
          <w:p w:rsidR="00151712" w:rsidRPr="00151712" w:rsidRDefault="00151712" w:rsidP="00151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8" w:type="dxa"/>
          </w:tcPr>
          <w:p w:rsidR="00151712" w:rsidRPr="00151712" w:rsidRDefault="00151712" w:rsidP="001517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5781" w:type="dxa"/>
          </w:tcPr>
          <w:p w:rsidR="00151712" w:rsidRPr="00151712" w:rsidRDefault="00151712" w:rsidP="0015171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перевищує 30 робочих днів з дня подання суб’єктом звернення заяви та документів, необхідних для отримання послуги.</w:t>
            </w:r>
          </w:p>
        </w:tc>
      </w:tr>
      <w:tr w:rsidR="00151712" w:rsidRPr="00151712" w:rsidTr="004335D5">
        <w:tc>
          <w:tcPr>
            <w:tcW w:w="456" w:type="dxa"/>
          </w:tcPr>
          <w:p w:rsidR="00151712" w:rsidRPr="00151712" w:rsidRDefault="00151712" w:rsidP="00151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08" w:type="dxa"/>
          </w:tcPr>
          <w:p w:rsidR="00151712" w:rsidRPr="00151712" w:rsidRDefault="00151712" w:rsidP="001517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81" w:type="dxa"/>
          </w:tcPr>
          <w:p w:rsidR="00151712" w:rsidRPr="00151712" w:rsidRDefault="00151712" w:rsidP="00151712">
            <w:pPr>
              <w:pStyle w:val="1"/>
              <w:ind w:left="0" w:firstLine="34"/>
              <w:rPr>
                <w:sz w:val="24"/>
                <w:szCs w:val="24"/>
              </w:rPr>
            </w:pPr>
            <w:r w:rsidRPr="00151712">
              <w:rPr>
                <w:sz w:val="24"/>
                <w:szCs w:val="24"/>
              </w:rPr>
              <w:t>У разі надання неповного пакету документів,  визначених Порядком, та/або їх оформлення з порушенням вимог чинного законодавства, або на який накладено арешт чи заборону на зняття його з обліку, та в інших випадках, передбачених законодавством – письмова відповідь власнику із зазначенням причин, що унеможливлюють надання послуги.</w:t>
            </w:r>
          </w:p>
        </w:tc>
      </w:tr>
      <w:tr w:rsidR="00151712" w:rsidRPr="00151712" w:rsidTr="004335D5">
        <w:tc>
          <w:tcPr>
            <w:tcW w:w="456" w:type="dxa"/>
          </w:tcPr>
          <w:p w:rsidR="00151712" w:rsidRPr="00151712" w:rsidRDefault="00151712" w:rsidP="00151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08" w:type="dxa"/>
          </w:tcPr>
          <w:p w:rsidR="00151712" w:rsidRPr="00151712" w:rsidRDefault="00151712" w:rsidP="00151712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81" w:type="dxa"/>
          </w:tcPr>
          <w:p w:rsidR="00151712" w:rsidRPr="00151712" w:rsidRDefault="00151712" w:rsidP="00151712">
            <w:pPr>
              <w:spacing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Свідоцтво про реєстрацію великотоннажного транспортного засобу або іншого технологічного транспортного засобу.</w:t>
            </w:r>
          </w:p>
        </w:tc>
      </w:tr>
      <w:tr w:rsidR="00151712" w:rsidRPr="00151712" w:rsidTr="004335D5">
        <w:tc>
          <w:tcPr>
            <w:tcW w:w="456" w:type="dxa"/>
          </w:tcPr>
          <w:p w:rsidR="00151712" w:rsidRPr="00151712" w:rsidRDefault="00151712" w:rsidP="00151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08" w:type="dxa"/>
          </w:tcPr>
          <w:p w:rsidR="00151712" w:rsidRPr="00151712" w:rsidRDefault="00151712" w:rsidP="00151712">
            <w:pPr>
              <w:spacing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17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781" w:type="dxa"/>
          </w:tcPr>
          <w:p w:rsidR="00151712" w:rsidRPr="00151712" w:rsidRDefault="00E93A42" w:rsidP="00151712">
            <w:pPr>
              <w:spacing w:line="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Документи отримуються заявником </w:t>
            </w:r>
            <w:r w:rsidRPr="006B3E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уповноваженою ним</w:t>
            </w:r>
            <w:r w:rsidRPr="006B3E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особою) особисто у адміністратора ЦНАП або надсилаються поштовим відправленням або в електронному вигляді через Портал електронних сервісів Мінекономіки.</w:t>
            </w:r>
          </w:p>
        </w:tc>
      </w:tr>
    </w:tbl>
    <w:p w:rsidR="000C5518" w:rsidRPr="00151712" w:rsidRDefault="000C5518" w:rsidP="000C55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5518" w:rsidRPr="00151712" w:rsidSect="00CF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1AE8"/>
    <w:rsid w:val="000578C6"/>
    <w:rsid w:val="000C5518"/>
    <w:rsid w:val="00124FED"/>
    <w:rsid w:val="00151712"/>
    <w:rsid w:val="001A0092"/>
    <w:rsid w:val="001B7495"/>
    <w:rsid w:val="001C1AE8"/>
    <w:rsid w:val="00223DC5"/>
    <w:rsid w:val="002975C6"/>
    <w:rsid w:val="002A148E"/>
    <w:rsid w:val="002D7F5F"/>
    <w:rsid w:val="003C634E"/>
    <w:rsid w:val="003E7C30"/>
    <w:rsid w:val="00410973"/>
    <w:rsid w:val="004335D5"/>
    <w:rsid w:val="00433CDA"/>
    <w:rsid w:val="004837FD"/>
    <w:rsid w:val="004F3901"/>
    <w:rsid w:val="006257D7"/>
    <w:rsid w:val="006B3EAF"/>
    <w:rsid w:val="007232C1"/>
    <w:rsid w:val="00755A0E"/>
    <w:rsid w:val="007877F0"/>
    <w:rsid w:val="007A3311"/>
    <w:rsid w:val="00817213"/>
    <w:rsid w:val="00927EF2"/>
    <w:rsid w:val="00964F67"/>
    <w:rsid w:val="009E0032"/>
    <w:rsid w:val="00B10534"/>
    <w:rsid w:val="00B20B47"/>
    <w:rsid w:val="00BE7F90"/>
    <w:rsid w:val="00C6729F"/>
    <w:rsid w:val="00CF567B"/>
    <w:rsid w:val="00D022F6"/>
    <w:rsid w:val="00D22211"/>
    <w:rsid w:val="00D36976"/>
    <w:rsid w:val="00D82A23"/>
    <w:rsid w:val="00D90A11"/>
    <w:rsid w:val="00DE6671"/>
    <w:rsid w:val="00DF0DA4"/>
    <w:rsid w:val="00E93A42"/>
    <w:rsid w:val="00F317F9"/>
    <w:rsid w:val="00F80227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7092"/>
  <w15:docId w15:val="{F0AB8E12-91AD-49AE-A091-EF1F6090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90A1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A11"/>
    <w:rPr>
      <w:color w:val="605E5C"/>
      <w:shd w:val="clear" w:color="auto" w:fill="E1DFDD"/>
    </w:rPr>
  </w:style>
  <w:style w:type="character" w:customStyle="1" w:styleId="rvts0">
    <w:name w:val="rvts0"/>
    <w:basedOn w:val="a0"/>
    <w:rsid w:val="004335D5"/>
  </w:style>
  <w:style w:type="paragraph" w:styleId="HTML">
    <w:name w:val="HTML Preformatted"/>
    <w:aliases w:val="Стандартный HTML1 Знак,Знак Знак Знак Знак Знак Знак Знак Знак Знак,Знак Знак Знак Знак Знак Знак Знак Знак Знак Знак Зна,Стандартный HTML1,Знак"/>
    <w:basedOn w:val="a"/>
    <w:link w:val="HTML0"/>
    <w:rsid w:val="00F3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Стандартный HTML1 Знак Знак,Знак Знак Знак Знак Знак Знак Знак Знак Знак Знак,Знак Знак Знак Знак Знак Знак Знак Знак Знак Знак Зна Знак,Стандартный HTML1 Знак1,Знак Знак"/>
    <w:basedOn w:val="a0"/>
    <w:link w:val="HTML"/>
    <w:rsid w:val="00F317F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Основной текст_"/>
    <w:link w:val="2"/>
    <w:locked/>
    <w:rsid w:val="00755A0E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755A0E"/>
    <w:pPr>
      <w:widowControl w:val="0"/>
      <w:shd w:val="clear" w:color="auto" w:fill="FFFFFF"/>
      <w:spacing w:before="900" w:after="360" w:line="312" w:lineRule="exact"/>
      <w:jc w:val="both"/>
    </w:pPr>
  </w:style>
  <w:style w:type="character" w:customStyle="1" w:styleId="11pt">
    <w:name w:val="Основной текст + 11 pt"/>
    <w:aliases w:val="Интервал 0 pt"/>
    <w:rsid w:val="00755A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customStyle="1" w:styleId="1">
    <w:name w:val="Абзац списка1"/>
    <w:basedOn w:val="a"/>
    <w:rsid w:val="006B3EAF"/>
    <w:pPr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20">
    <w:name w:val="Основной текст (2)_"/>
    <w:basedOn w:val="a0"/>
    <w:link w:val="21"/>
    <w:locked/>
    <w:rsid w:val="00D022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022F6"/>
    <w:pPr>
      <w:widowControl w:val="0"/>
      <w:shd w:val="clear" w:color="auto" w:fill="FFFFFF"/>
      <w:spacing w:after="280"/>
      <w:ind w:left="5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Korsun</cp:lastModifiedBy>
  <cp:revision>22</cp:revision>
  <dcterms:created xsi:type="dcterms:W3CDTF">2022-12-01T07:21:00Z</dcterms:created>
  <dcterms:modified xsi:type="dcterms:W3CDTF">2023-06-26T10:59:00Z</dcterms:modified>
</cp:coreProperties>
</file>