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C5" w:rsidRPr="00137B90" w:rsidRDefault="000F2AC5" w:rsidP="000F2AC5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37B90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F2AC5" w:rsidRDefault="000F2AC5" w:rsidP="000F2A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90">
        <w:rPr>
          <w:rFonts w:ascii="Times New Roman" w:hAnsi="Times New Roman" w:cs="Times New Roman"/>
          <w:b/>
          <w:sz w:val="28"/>
          <w:szCs w:val="28"/>
        </w:rPr>
        <w:t xml:space="preserve">про виконання делегованих повноважень органів виконавчої влади  управління </w:t>
      </w:r>
    </w:p>
    <w:p w:rsidR="000F2AC5" w:rsidRDefault="000F2AC5" w:rsidP="000F2A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90">
        <w:rPr>
          <w:rFonts w:ascii="Times New Roman" w:hAnsi="Times New Roman" w:cs="Times New Roman"/>
          <w:b/>
          <w:sz w:val="28"/>
          <w:szCs w:val="28"/>
        </w:rPr>
        <w:t xml:space="preserve">«Центр надання адміністративних послуг у м. Суми» </w:t>
      </w:r>
    </w:p>
    <w:p w:rsidR="000F2AC5" w:rsidRDefault="000F2AC5" w:rsidP="000F2A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90">
        <w:rPr>
          <w:rFonts w:ascii="Times New Roman" w:hAnsi="Times New Roman" w:cs="Times New Roman"/>
          <w:b/>
          <w:sz w:val="28"/>
          <w:szCs w:val="28"/>
        </w:rPr>
        <w:t xml:space="preserve"> Сумської міської ради </w:t>
      </w:r>
      <w:r w:rsidR="007E20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2307">
        <w:rPr>
          <w:rFonts w:ascii="Times New Roman" w:hAnsi="Times New Roman" w:cs="Times New Roman"/>
          <w:b/>
          <w:sz w:val="28"/>
          <w:szCs w:val="28"/>
        </w:rPr>
        <w:t xml:space="preserve">І півріччя </w:t>
      </w:r>
      <w:r w:rsidR="007E20AB">
        <w:rPr>
          <w:rFonts w:ascii="Times New Roman" w:hAnsi="Times New Roman" w:cs="Times New Roman"/>
          <w:b/>
          <w:sz w:val="28"/>
          <w:szCs w:val="28"/>
        </w:rPr>
        <w:t>202</w:t>
      </w:r>
      <w:r w:rsidR="00A97B20">
        <w:rPr>
          <w:rFonts w:ascii="Times New Roman" w:hAnsi="Times New Roman" w:cs="Times New Roman"/>
          <w:b/>
          <w:sz w:val="28"/>
          <w:szCs w:val="28"/>
        </w:rPr>
        <w:t>1</w:t>
      </w:r>
      <w:r w:rsidRPr="00137B90"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7E20AB">
        <w:rPr>
          <w:rFonts w:ascii="Times New Roman" w:hAnsi="Times New Roman" w:cs="Times New Roman"/>
          <w:b/>
          <w:sz w:val="28"/>
          <w:szCs w:val="28"/>
        </w:rPr>
        <w:t>ку</w:t>
      </w:r>
    </w:p>
    <w:p w:rsidR="000F2AC5" w:rsidRPr="00FF4F7C" w:rsidRDefault="000F2AC5" w:rsidP="000F2A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66" w:type="dxa"/>
        <w:tblLook w:val="04A0" w:firstRow="1" w:lastRow="0" w:firstColumn="1" w:lastColumn="0" w:noHBand="0" w:noVBand="1"/>
      </w:tblPr>
      <w:tblGrid>
        <w:gridCol w:w="621"/>
        <w:gridCol w:w="2685"/>
        <w:gridCol w:w="10040"/>
        <w:gridCol w:w="2020"/>
      </w:tblGrid>
      <w:tr w:rsidR="000F2AC5" w:rsidRPr="00D43E0B" w:rsidTr="00EE5682">
        <w:trPr>
          <w:trHeight w:val="256"/>
        </w:trPr>
        <w:tc>
          <w:tcPr>
            <w:tcW w:w="621" w:type="dxa"/>
            <w:vAlign w:val="center"/>
          </w:tcPr>
          <w:p w:rsidR="000F2AC5" w:rsidRPr="00D43E0B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85" w:type="dxa"/>
            <w:vAlign w:val="center"/>
          </w:tcPr>
          <w:p w:rsidR="000F2AC5" w:rsidRPr="00D43E0B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hAnsi="Times New Roman" w:cs="Times New Roman"/>
                <w:sz w:val="24"/>
                <w:szCs w:val="24"/>
              </w:rPr>
              <w:t>Номер статті, відповідної частини, пункту та номер і зміст підпункту Закону України «Про місцеве самоврядування в Україні»</w:t>
            </w:r>
          </w:p>
        </w:tc>
        <w:tc>
          <w:tcPr>
            <w:tcW w:w="10040" w:type="dxa"/>
            <w:vAlign w:val="center"/>
          </w:tcPr>
          <w:p w:rsidR="000F2AC5" w:rsidRPr="00D43E0B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hAnsi="Times New Roman" w:cs="Times New Roman"/>
                <w:sz w:val="24"/>
                <w:szCs w:val="24"/>
              </w:rPr>
              <w:t>Заходи щодо виконання делегованих повноважень органів виконавчої влади органами місцевого самоврядування</w:t>
            </w:r>
          </w:p>
        </w:tc>
        <w:tc>
          <w:tcPr>
            <w:tcW w:w="2020" w:type="dxa"/>
            <w:vAlign w:val="center"/>
          </w:tcPr>
          <w:p w:rsidR="000F2AC5" w:rsidRPr="00D43E0B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hAnsi="Times New Roman" w:cs="Times New Roman"/>
                <w:sz w:val="24"/>
                <w:szCs w:val="24"/>
              </w:rPr>
              <w:t>Кількість та вид актів, прийнятих (виданих) з питань здійснення делегованих повноважень органів виконавчої влади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D158B6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0F2AC5" w:rsidRPr="00D43E0B" w:rsidRDefault="000F2AC5" w:rsidP="00EE5682">
            <w:pPr>
              <w:rPr>
                <w:sz w:val="24"/>
                <w:szCs w:val="24"/>
              </w:rPr>
            </w:pPr>
            <w:r w:rsidRPr="00D4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 4 пункту «б» статті 27 – «організаційне забезпечення надання адміністративних послуг органів  виконавчої  влади  через  центри надання адміністративних послуг» </w:t>
            </w:r>
          </w:p>
        </w:tc>
        <w:tc>
          <w:tcPr>
            <w:tcW w:w="10040" w:type="dxa"/>
          </w:tcPr>
          <w:p w:rsidR="000F2AC5" w:rsidRPr="003B798B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1AFC">
              <w:rPr>
                <w:rFonts w:ascii="Times New Roman" w:hAnsi="Times New Roman" w:cs="Times New Roman"/>
                <w:sz w:val="24"/>
                <w:szCs w:val="24"/>
              </w:rPr>
              <w:t xml:space="preserve">На даний час в приміщенні Центру </w:t>
            </w:r>
            <w:r w:rsidRPr="00676601">
              <w:rPr>
                <w:rFonts w:ascii="Times New Roman" w:hAnsi="Times New Roman" w:cs="Times New Roman"/>
                <w:sz w:val="24"/>
                <w:szCs w:val="24"/>
              </w:rPr>
              <w:t>надається 2</w:t>
            </w:r>
            <w:r w:rsidR="00676601" w:rsidRPr="006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C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послуг, </w:t>
            </w:r>
            <w:r w:rsidRPr="003B798B">
              <w:rPr>
                <w:rFonts w:ascii="Times New Roman" w:hAnsi="Times New Roman" w:cs="Times New Roman"/>
                <w:sz w:val="24"/>
                <w:szCs w:val="24"/>
              </w:rPr>
              <w:t>серед них 84, що надаються територіальними органами центральних органів виконавчої влади та дозвільними органами, 1</w:t>
            </w:r>
            <w:r w:rsidR="006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798B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структурними підрозділами Сумської обласної державної адміністрац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ії, 1</w:t>
            </w:r>
            <w:r w:rsidR="00663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98B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структурними підрозділами  Сумської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– комунальними підприємствами міста.</w:t>
            </w:r>
          </w:p>
          <w:p w:rsidR="000F2AC5" w:rsidRPr="00FA3624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95E48" w:rsidRPr="00D95E48" w:rsidRDefault="000F2AC5" w:rsidP="00D95E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95E48" w:rsidRPr="00D9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Відділом дозвільних процедур здійснюється видача документів дозвільного характеру та надання адміністративних послуг, перелік яких визначено Законом України «Про перелік документів дозвільного характеру», розпорядженням Кабінету Міністрів України від 16.05.2014 № 523-р, рішенням Сумської міської ради від 24 червня 2020 року № 6997- МР «Про затвердження переліку адміністративних послуг, які надаються через управління «Центр надання адміністративних послуг у м. Суми» Сумської міської ради» та його територіальні підрозділи». </w:t>
            </w:r>
          </w:p>
          <w:p w:rsidR="00F67F23" w:rsidRDefault="00D95E48" w:rsidP="00EE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За звітний період відділом дозвільних процедур прийнято близько 10500 заяв від суб’єктів господарювання та громадян, видано 10000 результатів адміністративних послуг, надано консультацій з питань видачі документів дозвільного характеру представниками дозвільних органів – 5000, адміністраторами відділу – 21000.</w:t>
            </w:r>
          </w:p>
          <w:p w:rsidR="00D95E48" w:rsidRDefault="00D95E48" w:rsidP="00EE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362" w:rsidRPr="003A3362" w:rsidRDefault="000F2AC5" w:rsidP="003A33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  <w:r w:rsid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Відділом з питань оформлення паспортних документів було </w:t>
            </w:r>
            <w:r w:rsidR="003A3362" w:rsidRP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прийнято документів на оформлення паспорта громадянина України для виїзду закордон від </w:t>
            </w:r>
            <w:r w:rsidR="00975F02">
              <w:rPr>
                <w:rFonts w:ascii="Times New Roman" w:hAnsi="Times New Roman" w:cs="Times New Roman"/>
                <w:bCs/>
                <w:sz w:val="24"/>
                <w:szCs w:val="24"/>
              </w:rPr>
              <w:t>3526</w:t>
            </w:r>
            <w:r w:rsidR="003A3362" w:rsidRP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осіб та паспорта громадянина України  від </w:t>
            </w:r>
            <w:r w:rsidR="00975F02">
              <w:rPr>
                <w:rFonts w:ascii="Times New Roman" w:hAnsi="Times New Roman" w:cs="Times New Roman"/>
                <w:bCs/>
                <w:sz w:val="24"/>
                <w:szCs w:val="24"/>
              </w:rPr>
              <w:t>4585</w:t>
            </w:r>
            <w:r w:rsid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осіб.</w:t>
            </w:r>
            <w:r w:rsidR="003A3362" w:rsidRP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Видано </w:t>
            </w:r>
            <w:r w:rsidR="00975F02">
              <w:rPr>
                <w:rFonts w:ascii="Times New Roman" w:hAnsi="Times New Roman" w:cs="Times New Roman"/>
                <w:bCs/>
                <w:sz w:val="24"/>
                <w:szCs w:val="24"/>
              </w:rPr>
              <w:t>2930</w:t>
            </w:r>
            <w:r w:rsidR="003A3362" w:rsidRP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закордонних паспортів та </w:t>
            </w:r>
            <w:r w:rsidR="00975F02">
              <w:rPr>
                <w:rFonts w:ascii="Times New Roman" w:hAnsi="Times New Roman" w:cs="Times New Roman"/>
                <w:bCs/>
                <w:sz w:val="24"/>
                <w:szCs w:val="24"/>
              </w:rPr>
              <w:t>4246</w:t>
            </w:r>
            <w:r w:rsidR="003A3362" w:rsidRP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</w:t>
            </w:r>
            <w:r w:rsidR="003A3362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3A3362" w:rsidRPr="003A3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громадянина України у вигляді ІD- картки. </w:t>
            </w:r>
          </w:p>
          <w:p w:rsidR="00975F02" w:rsidRDefault="00975F02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02" w:rsidRDefault="00975F02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E3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67F23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0F">
              <w:rPr>
                <w:rFonts w:ascii="Times New Roman" w:hAnsi="Times New Roman" w:cs="Times New Roman"/>
                <w:sz w:val="24"/>
                <w:szCs w:val="24"/>
              </w:rPr>
              <w:t>В управлінні функціонує реєстр протоколів, в який вноситься інформація про суб’єктів, які здійснили правопорушення, передбачені ст.. 197, 198 Кодексу про адміністративні правопорушення.</w:t>
            </w:r>
            <w:r w:rsidRPr="00D414AD">
              <w:rPr>
                <w:rFonts w:ascii="Times New Roman" w:hAnsi="Times New Roman" w:cs="Times New Roman"/>
                <w:sz w:val="24"/>
                <w:szCs w:val="24"/>
              </w:rPr>
              <w:t xml:space="preserve"> За звітний період внесено </w:t>
            </w:r>
            <w:r w:rsidR="00BC2FA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Pr="00D414AD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BC2FA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D414AD">
              <w:rPr>
                <w:rFonts w:ascii="Times New Roman" w:hAnsi="Times New Roman" w:cs="Times New Roman"/>
                <w:sz w:val="24"/>
                <w:szCs w:val="24"/>
              </w:rPr>
              <w:t xml:space="preserve"> про адміністративні правопорушення до реєстру, та складено </w:t>
            </w:r>
            <w:r w:rsidR="00BC2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14A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протоколів  про адміністративні </w:t>
            </w:r>
            <w:proofErr w:type="spellStart"/>
            <w:r w:rsidRPr="00D414AD">
              <w:rPr>
                <w:rFonts w:ascii="Times New Roman" w:hAnsi="Times New Roman" w:cs="Times New Roman"/>
                <w:sz w:val="24"/>
                <w:szCs w:val="24"/>
              </w:rPr>
              <w:t>провопорушення</w:t>
            </w:r>
            <w:proofErr w:type="spellEnd"/>
            <w:r w:rsidRPr="00D41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4AD">
              <w:rPr>
                <w:rFonts w:ascii="Times New Roman" w:hAnsi="Times New Roman" w:cs="Times New Roman"/>
                <w:sz w:val="24"/>
                <w:szCs w:val="24"/>
              </w:rPr>
              <w:t>передбачені ст. 197, 198 Кодексу про адміністративні правопорушення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137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23" w:rsidRPr="00F67F23" w:rsidRDefault="000F2AC5" w:rsidP="00F6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7F23" w:rsidRPr="00F67F23">
              <w:rPr>
                <w:rFonts w:ascii="Times New Roman" w:hAnsi="Times New Roman" w:cs="Times New Roman"/>
                <w:sz w:val="24"/>
                <w:szCs w:val="24"/>
              </w:rPr>
              <w:t>Відповідно до прийнятого узгодженого рішення між Виконавчим комітетом Сумської міської ради та Регіональним сервісним центром МВС в Сумській області, в управлінні «Центр надання адміністративних послуг у м. Суми» з 01.01.2020 розпочали прийом документів для надання адміністративних послуг з питань обміну посвідчення водія (без складення іспитів); видачі нового посвідчення водія замість втраченого або викраденого; державної реєстрації нового транспортного засобу (без огляду); перереєстрації транспортного засобу у зв’язку із зміною найменування та адреси юридичних осіб, прізвища, імені чи по батькові, місця проживання фізичних осіб, які є власниками транспортних засобів, установлення газобалонного обладнання з використанням програмних засобів Єдиного державного реєстру МВС.</w:t>
            </w:r>
          </w:p>
          <w:p w:rsidR="00F67F23" w:rsidRPr="00F67F23" w:rsidRDefault="00975F02" w:rsidP="00F6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7F23" w:rsidRPr="00F67F23">
              <w:rPr>
                <w:rFonts w:ascii="Times New Roman" w:hAnsi="Times New Roman" w:cs="Times New Roman"/>
                <w:sz w:val="24"/>
                <w:szCs w:val="24"/>
              </w:rPr>
              <w:t xml:space="preserve">Співробітники «ЦНАП у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</w:rPr>
              <w:t xml:space="preserve">» перевіряють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повноту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наданих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заявником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F67F23"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67F23" w:rsidRPr="00F67F23" w:rsidRDefault="00F67F23" w:rsidP="00F6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заявникам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прийняті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територіального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сервісного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центру МВС за результатами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F6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67F23" w:rsidRPr="00F67F23" w:rsidRDefault="00F67F23" w:rsidP="00F6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 xml:space="preserve">За перше півріччя поточного року було надано </w:t>
            </w:r>
            <w:r w:rsidR="00730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послуг з використанням Єдиного державного реєстру МВС, а саме: </w:t>
            </w:r>
            <w:r w:rsidR="002D071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адміністративні послуги щодо реєстрації нових транспортних засобів та </w:t>
            </w:r>
            <w:r w:rsidR="002D07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адміністративні послуги з питань обміну посвідчення водія. </w:t>
            </w:r>
          </w:p>
          <w:p w:rsidR="00F625CB" w:rsidRPr="00F67F23" w:rsidRDefault="00F625CB" w:rsidP="00623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Pr="00B47BD6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D7FB3">
              <w:rPr>
                <w:rFonts w:ascii="Times New Roman" w:hAnsi="Times New Roman" w:cs="Times New Roman"/>
                <w:sz w:val="24"/>
                <w:szCs w:val="24"/>
              </w:rPr>
              <w:t>метою  доступності надання адмін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істративних </w:t>
            </w:r>
            <w:r w:rsidRPr="00BD7FB3">
              <w:rPr>
                <w:rFonts w:ascii="Times New Roman" w:hAnsi="Times New Roman" w:cs="Times New Roman"/>
                <w:sz w:val="24"/>
                <w:szCs w:val="24"/>
              </w:rPr>
              <w:t>послуг розпоча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D7FB3">
              <w:rPr>
                <w:rFonts w:ascii="Times New Roman" w:hAnsi="Times New Roman" w:cs="Times New Roman"/>
                <w:sz w:val="24"/>
                <w:szCs w:val="24"/>
              </w:rPr>
              <w:t xml:space="preserve"> свою роботу 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D7FB3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FB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BD7FB3">
              <w:rPr>
                <w:rFonts w:ascii="Times New Roman" w:hAnsi="Times New Roman" w:cs="Times New Roman"/>
                <w:sz w:val="24"/>
                <w:szCs w:val="24"/>
              </w:rPr>
              <w:t xml:space="preserve"> у м. Суми за адресою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165/71(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лютого 2019 року), вул.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,49 А ( з червня 2019 року ). У філіях</w:t>
            </w:r>
            <w:r w:rsidRPr="007C44F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C44F8">
              <w:rPr>
                <w:rFonts w:ascii="Times New Roman" w:hAnsi="Times New Roman" w:cs="Times New Roman"/>
                <w:sz w:val="24"/>
                <w:szCs w:val="24"/>
              </w:rPr>
              <w:t>ться послуги з архітектурних та земельних питань, здійсню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</w:t>
            </w:r>
            <w:r w:rsidRPr="007C44F8">
              <w:rPr>
                <w:rFonts w:ascii="Times New Roman" w:hAnsi="Times New Roman" w:cs="Times New Roman"/>
                <w:sz w:val="24"/>
                <w:szCs w:val="24"/>
              </w:rPr>
              <w:t xml:space="preserve">ься реєстрація/зняття місця проживання, видача довідок про склад сім’ї, за формою </w:t>
            </w:r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13, </w:t>
            </w:r>
            <w:proofErr w:type="spellStart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нерухоме</w:t>
            </w:r>
            <w:proofErr w:type="spellEnd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майно</w:t>
            </w:r>
            <w:proofErr w:type="spellEnd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оформлюються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7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дозвіл</w:t>
            </w:r>
            <w:r w:rsidR="00443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ьного</w:t>
            </w:r>
            <w:proofErr w:type="spellEnd"/>
            <w:r w:rsidR="00443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характеру;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610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</w:t>
            </w:r>
            <w:r w:rsidR="00443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43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філіа</w:t>
            </w:r>
            <w:r w:rsidR="00FF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</w:t>
            </w:r>
            <w:proofErr w:type="spellEnd"/>
            <w:r w:rsidR="00FF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FF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="00FF4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Романа Атаманюка, 49</w:t>
            </w:r>
            <w:r w:rsidR="00443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біометричних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62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2AC5" w:rsidRPr="00001A77" w:rsidRDefault="000F2AC5" w:rsidP="00EE56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77">
              <w:rPr>
                <w:rFonts w:ascii="Times New Roman" w:hAnsi="Times New Roman" w:cs="Times New Roman"/>
                <w:sz w:val="24"/>
                <w:szCs w:val="24"/>
              </w:rPr>
              <w:t xml:space="preserve">         В управлінні належну увагу приділяють підвищенню кваліфікації та навчанню адміністраторів, з цією метою постійно проводяться семінари та тренінги, крім того на базі ЦНАП проходять робочі зустрічі, конференції, наради, презентації. Так, </w:t>
            </w:r>
            <w:r w:rsidR="007C1AE7">
              <w:rPr>
                <w:rFonts w:ascii="Times New Roman" w:hAnsi="Times New Roman" w:cs="Times New Roman"/>
                <w:sz w:val="24"/>
                <w:szCs w:val="24"/>
              </w:rPr>
              <w:t xml:space="preserve">за звітний період </w:t>
            </w:r>
            <w:r w:rsidRPr="00001A77">
              <w:rPr>
                <w:rFonts w:ascii="Times New Roman" w:hAnsi="Times New Roman" w:cs="Times New Roman"/>
                <w:sz w:val="24"/>
                <w:szCs w:val="24"/>
              </w:rPr>
              <w:t>адміністратори управління приймали участь в наступних заходах:</w:t>
            </w:r>
          </w:p>
          <w:p w:rsidR="000B6C37" w:rsidRDefault="00A97B20" w:rsidP="00A97B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березня відбулася нарада щодо </w:t>
            </w:r>
            <w:r w:rsidRPr="00A97B20">
              <w:rPr>
                <w:rFonts w:ascii="Times New Roman" w:hAnsi="Times New Roman" w:cs="Times New Roman"/>
                <w:sz w:val="24"/>
                <w:szCs w:val="24"/>
              </w:rPr>
              <w:t>співпраці та надання професійної допомоги при виникненні питань з державної реєстрації актів цивільного стану, порядку прийому та видачі таких документів стали головними темами проведених нарад та зустрічей керівників відділів державної реєстрації актів цивільного стану Північно-Східного міжрегіонального управління Міністерства юстиції (м. Суми) по Сумській області та фахівців Центрів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адання адміністративних послуг. </w:t>
            </w:r>
            <w:r w:rsidRPr="00A97B20">
              <w:rPr>
                <w:rFonts w:ascii="Times New Roman" w:hAnsi="Times New Roman" w:cs="Times New Roman"/>
                <w:sz w:val="24"/>
                <w:szCs w:val="24"/>
              </w:rPr>
              <w:t>Учасники нарад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B20">
              <w:rPr>
                <w:rFonts w:ascii="Times New Roman" w:hAnsi="Times New Roman" w:cs="Times New Roman"/>
                <w:sz w:val="24"/>
                <w:szCs w:val="24"/>
              </w:rPr>
              <w:t xml:space="preserve"> обговорили питання щодо державної реєстрації актів цивільного стану громадян, у тому числі надання комплексної послуги «є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B20">
              <w:rPr>
                <w:rFonts w:ascii="Times New Roman" w:hAnsi="Times New Roman" w:cs="Times New Roman"/>
                <w:sz w:val="24"/>
                <w:szCs w:val="24"/>
              </w:rPr>
              <w:t>Малятко», порядку прийому та видачі відповідних документів, розв’язали питання, які виник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ають в процесі спільної роботи;</w:t>
            </w:r>
          </w:p>
          <w:p w:rsidR="00A97B20" w:rsidRDefault="00A97B20" w:rsidP="00D95E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0">
              <w:rPr>
                <w:rFonts w:ascii="Times New Roman" w:hAnsi="Times New Roman" w:cs="Times New Roman"/>
                <w:sz w:val="24"/>
                <w:szCs w:val="24"/>
              </w:rPr>
              <w:t xml:space="preserve">25 березня Асоціацією міст України спільно з Всеукраїнською асоціацією центрів надання адміністративних послуг був проведений </w:t>
            </w:r>
            <w:proofErr w:type="spellStart"/>
            <w:r w:rsidRPr="00A97B20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A97B2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«Особливості надання адміністративних послуг соціального характеру через центри надання адміністративних послуг» в якому прийняли учас</w:t>
            </w:r>
            <w:r w:rsidR="00D95E48">
              <w:rPr>
                <w:rFonts w:ascii="Times New Roman" w:hAnsi="Times New Roman" w:cs="Times New Roman"/>
                <w:sz w:val="24"/>
                <w:szCs w:val="24"/>
              </w:rPr>
              <w:t>ть і представники ЦНАП м. Суми.</w:t>
            </w:r>
            <w:r w:rsidRPr="00A97B20">
              <w:rPr>
                <w:rFonts w:ascii="Times New Roman" w:hAnsi="Times New Roman" w:cs="Times New Roman"/>
                <w:sz w:val="24"/>
                <w:szCs w:val="24"/>
              </w:rPr>
              <w:t xml:space="preserve"> Захід організований в рамках </w:t>
            </w:r>
            <w:proofErr w:type="spellStart"/>
            <w:r w:rsidRPr="00A97B20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97B20">
              <w:rPr>
                <w:rFonts w:ascii="Times New Roman" w:hAnsi="Times New Roman" w:cs="Times New Roman"/>
                <w:sz w:val="24"/>
                <w:szCs w:val="24"/>
              </w:rPr>
              <w:t xml:space="preserve"> «Розробка курсу на зміцнення місцевого самоврядування в Україні» (ПУЛЬС), який реалізує Асоціація міст України за підтримки USAID.</w:t>
            </w:r>
          </w:p>
          <w:p w:rsidR="00D95E48" w:rsidRPr="00B87794" w:rsidRDefault="00D95E48" w:rsidP="00D95E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8">
              <w:rPr>
                <w:rFonts w:ascii="Times New Roman" w:hAnsi="Times New Roman" w:cs="Times New Roman"/>
                <w:sz w:val="24"/>
                <w:szCs w:val="24"/>
              </w:rPr>
              <w:t>26 березня в залі засідань «Центру надання адміністративних послуг у м. Суми» відбулася спільна робоча нарада відділів адміністративних послуг та реєстрації місця проживання, на якій було обговорено проблеми щодо впровадження та роботи з реєстром територіальної громади.</w:t>
            </w:r>
          </w:p>
        </w:tc>
        <w:tc>
          <w:tcPr>
            <w:tcW w:w="2020" w:type="dxa"/>
          </w:tcPr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57" w:rsidRDefault="00A94357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C5" w:rsidRPr="00FA3624" w:rsidRDefault="000F2AC5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1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рийнято </w:t>
            </w:r>
            <w:r w:rsidR="00CB52A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C2F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B52A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71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 від суб’єктів господарювання та громадян, видано </w:t>
            </w:r>
            <w:r w:rsidR="00CB52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C2F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7567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71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результатів  </w:t>
            </w:r>
            <w:r w:rsidRPr="007107C2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адміністративних послуг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AC5" w:rsidRDefault="000F2AC5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FA8" w:rsidRDefault="00BC2FA8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FA8" w:rsidRDefault="00BC2FA8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FA8" w:rsidRDefault="00BC2FA8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C5" w:rsidRPr="00F67F23" w:rsidRDefault="00F67F23" w:rsidP="00EE568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Видано </w:t>
            </w:r>
            <w:r w:rsidR="00975F02">
              <w:rPr>
                <w:rFonts w:ascii="Times New Roman" w:hAnsi="Times New Roman" w:cs="Times New Roman"/>
                <w:bCs/>
                <w:sz w:val="24"/>
                <w:szCs w:val="24"/>
              </w:rPr>
              <w:t>2930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закордонних паспортів, </w:t>
            </w:r>
            <w:r w:rsidR="00975F02">
              <w:rPr>
                <w:rFonts w:ascii="Times New Roman" w:hAnsi="Times New Roman" w:cs="Times New Roman"/>
                <w:bCs/>
                <w:sz w:val="24"/>
                <w:szCs w:val="24"/>
              </w:rPr>
              <w:t>4246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паспортів у вигляді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</w:t>
            </w:r>
            <w:r w:rsidRPr="00F67F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картки</w:t>
            </w:r>
            <w:proofErr w:type="spellEnd"/>
          </w:p>
          <w:p w:rsidR="000F2AC5" w:rsidRDefault="000F2AC5" w:rsidP="00EE5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2AC5" w:rsidRPr="00F84E12" w:rsidRDefault="000F2AC5" w:rsidP="00BC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звітний період внесено </w:t>
            </w:r>
            <w:r w:rsidR="00BC2FA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BC2FA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адміністративні правопорушення 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084CC8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MicrosoftSansSerif12pt0pt"/>
                <w:lang w:val="uk-UA"/>
              </w:rPr>
            </w:pPr>
            <w:r>
              <w:rPr>
                <w:rStyle w:val="MicrosoftSansSerif12pt0pt"/>
                <w:lang w:val="uk-UA"/>
              </w:rPr>
              <w:lastRenderedPageBreak/>
              <w:t xml:space="preserve">  2</w:t>
            </w:r>
          </w:p>
        </w:tc>
        <w:tc>
          <w:tcPr>
            <w:tcW w:w="2685" w:type="dxa"/>
          </w:tcPr>
          <w:p w:rsidR="000F2AC5" w:rsidRPr="001B38BF" w:rsidRDefault="000F2AC5" w:rsidP="00EE5682">
            <w:pPr>
              <w:pStyle w:val="2"/>
              <w:spacing w:before="0" w:after="0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 xml:space="preserve">підпункт 8 пункту «б» статті 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30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 xml:space="preserve">    -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« в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идача ордерів на заселення жилої площі в 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lastRenderedPageBreak/>
              <w:t>будинках державних та комунальних організацій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0040" w:type="dxa"/>
          </w:tcPr>
          <w:p w:rsidR="000F2AC5" w:rsidRPr="001B38BF" w:rsidRDefault="000F2AC5" w:rsidP="006E5CE7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lastRenderedPageBreak/>
              <w:t xml:space="preserve">         Проведено засідань громадської комісії з житлових питань при виконавчому комітеті Сумської міської ради</w:t>
            </w:r>
            <w:r w:rsidR="006E5CE7">
              <w:rPr>
                <w:rStyle w:val="105pt0pt"/>
                <w:rFonts w:eastAsia="Microsoft Sans Serif"/>
                <w:sz w:val="24"/>
                <w:szCs w:val="24"/>
              </w:rPr>
              <w:t>-4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 та прийнято рішень виконавчого комітету Сумської міської ради – </w:t>
            </w:r>
            <w:r w:rsidR="006E5CE7">
              <w:rPr>
                <w:rStyle w:val="105pt0pt"/>
                <w:rFonts w:eastAsia="Microsoft Sans Serif"/>
                <w:sz w:val="24"/>
                <w:szCs w:val="24"/>
              </w:rPr>
              <w:t>19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F2AC5" w:rsidRPr="001B38BF" w:rsidRDefault="000F2AC5" w:rsidP="006E5CE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Видано ордерів - </w:t>
            </w:r>
            <w:r w:rsidR="006E5CE7">
              <w:rPr>
                <w:rStyle w:val="105pt0pt"/>
                <w:rFonts w:eastAsia="Microsoft Sans Serif"/>
                <w:sz w:val="24"/>
                <w:szCs w:val="24"/>
              </w:rPr>
              <w:t>5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084CC8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MicrosoftSansSerif12pt0pt"/>
                <w:lang w:val="uk-UA"/>
              </w:rPr>
            </w:pPr>
            <w:r>
              <w:rPr>
                <w:rStyle w:val="MicrosoftSansSerif12pt0pt"/>
                <w:lang w:val="uk-UA"/>
              </w:rPr>
              <w:lastRenderedPageBreak/>
              <w:t xml:space="preserve">  3</w:t>
            </w:r>
          </w:p>
        </w:tc>
        <w:tc>
          <w:tcPr>
            <w:tcW w:w="2685" w:type="dxa"/>
          </w:tcPr>
          <w:p w:rsidR="000F2AC5" w:rsidRPr="001B38BF" w:rsidRDefault="000F2AC5" w:rsidP="00EE5682">
            <w:pPr>
              <w:pStyle w:val="2"/>
              <w:spacing w:before="0" w:after="0" w:line="240" w:lineRule="auto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>підпункт 6 пункту «б» с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т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атті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30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 xml:space="preserve"> – «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н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адання відповідно до закону громадянам, які потребують соціального захисту, безоплатного житла або за доступну для них плату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004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        Проведено засідань громадської комісії з житлових питань при виконавчому комітеті Сумської міської ради  та прийнято рішень виконавчого комітету Сумської міської ради – 0.</w:t>
            </w:r>
          </w:p>
        </w:tc>
        <w:tc>
          <w:tcPr>
            <w:tcW w:w="202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-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084CC8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MicrosoftSansSerif12pt0pt"/>
                <w:lang w:val="uk-UA"/>
              </w:rPr>
            </w:pPr>
            <w:r>
              <w:rPr>
                <w:rStyle w:val="MicrosoftSansSerif12pt0pt"/>
                <w:lang w:val="uk-UA"/>
              </w:rPr>
              <w:t xml:space="preserve">  4</w:t>
            </w:r>
          </w:p>
        </w:tc>
        <w:tc>
          <w:tcPr>
            <w:tcW w:w="2685" w:type="dxa"/>
          </w:tcPr>
          <w:p w:rsidR="000F2AC5" w:rsidRPr="001B38BF" w:rsidRDefault="000F2AC5" w:rsidP="00EE5682">
            <w:pPr>
              <w:pStyle w:val="2"/>
              <w:spacing w:before="0" w:after="0" w:line="240" w:lineRule="auto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>підпункт 7 пункту «б» с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т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атті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30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–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«з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дійснення контролю за станом квартирного обліку та додержанням житлового законодавства на підприємства,</w:t>
            </w:r>
          </w:p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установах та організаціях, розташованих на відповідній території, незалежно від форм власності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0040" w:type="dxa"/>
          </w:tcPr>
          <w:p w:rsidR="000F2AC5" w:rsidRPr="001B38BF" w:rsidRDefault="000F2AC5" w:rsidP="009B5B35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 xml:space="preserve">        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Затверджено протоколи засідань житлово-побутової комісії Управління </w:t>
            </w:r>
            <w:proofErr w:type="spellStart"/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Держспецзв’язку</w:t>
            </w:r>
            <w:proofErr w:type="spellEnd"/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в Сумській області про прийняття на квартирний облік </w:t>
            </w:r>
            <w:r w:rsidR="009B5B35">
              <w:rPr>
                <w:rStyle w:val="105pt0pt"/>
                <w:rFonts w:eastAsia="Microsoft Sans Serif"/>
                <w:sz w:val="24"/>
                <w:szCs w:val="24"/>
              </w:rPr>
              <w:t>0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громадян.</w:t>
            </w:r>
          </w:p>
        </w:tc>
        <w:tc>
          <w:tcPr>
            <w:tcW w:w="202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eastAsia="Microsoft Sans Serif"/>
                <w:sz w:val="24"/>
                <w:szCs w:val="24"/>
              </w:rPr>
            </w:pP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084CC8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MicrosoftSansSerif12pt0pt"/>
                <w:lang w:val="uk-UA"/>
              </w:rPr>
            </w:pPr>
            <w:r>
              <w:rPr>
                <w:rStyle w:val="MicrosoftSansSerif12pt0pt"/>
                <w:lang w:val="uk-UA"/>
              </w:rPr>
              <w:t xml:space="preserve">  5</w:t>
            </w:r>
          </w:p>
        </w:tc>
        <w:tc>
          <w:tcPr>
            <w:tcW w:w="2685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>підпункт 11 пункту «б» с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т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атті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30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–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«в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ирішення відповідно до законодавства питань, пов’язаних з наданням Державній службі спеціального зв’язку та 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lastRenderedPageBreak/>
              <w:t>захисту інформації України службових жилих приміщень, житлової площі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004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lastRenderedPageBreak/>
              <w:t xml:space="preserve">Управління Державної служби спеціального зв’язку та захисту інформації України в Сумській області  до виконавчого комітету Сумської міської ради не зверталось  </w:t>
            </w:r>
          </w:p>
        </w:tc>
        <w:tc>
          <w:tcPr>
            <w:tcW w:w="202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>-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084CC8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MicrosoftSansSerif12pt0pt"/>
                <w:lang w:val="uk-UA"/>
              </w:rPr>
            </w:pPr>
            <w:r>
              <w:rPr>
                <w:rStyle w:val="MicrosoftSansSerif12pt0pt"/>
                <w:lang w:val="uk-UA"/>
              </w:rPr>
              <w:lastRenderedPageBreak/>
              <w:t xml:space="preserve">  6</w:t>
            </w:r>
          </w:p>
        </w:tc>
        <w:tc>
          <w:tcPr>
            <w:tcW w:w="2685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>підпункт 12 пункту «б» с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т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атті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30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–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«з</w:t>
            </w: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дійснення заходів щодо ведення в установленому порядку єдиного державного реєстру громадян, які потребують поліпшення житлових умов</w:t>
            </w:r>
            <w:r>
              <w:rPr>
                <w:rStyle w:val="105pt0pt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004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eastAsia="Microsoft Sans Serif"/>
                <w:sz w:val="24"/>
                <w:szCs w:val="24"/>
              </w:rPr>
            </w:pPr>
            <w:r w:rsidRPr="001B38BF">
              <w:rPr>
                <w:rStyle w:val="105pt0pt"/>
                <w:rFonts w:eastAsia="Microsoft Sans Serif"/>
                <w:sz w:val="24"/>
                <w:szCs w:val="24"/>
              </w:rPr>
              <w:t>Тимчасово призупинено надання інформації, у зв’язку з тим, що Міністерство регіонального розвитку, будівництва та житлово-комунального господарства України не повідомляло виконавчий комітет про поновлення роботи єдиного державного реєстру громадян, які потребують поліпшення житлових умов.</w:t>
            </w:r>
          </w:p>
        </w:tc>
        <w:tc>
          <w:tcPr>
            <w:tcW w:w="2020" w:type="dxa"/>
          </w:tcPr>
          <w:p w:rsidR="000F2AC5" w:rsidRPr="001B38BF" w:rsidRDefault="000F2AC5" w:rsidP="00EE568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eastAsia="Microsoft Sans Serif"/>
                <w:sz w:val="24"/>
                <w:szCs w:val="24"/>
              </w:rPr>
            </w:pPr>
            <w:r>
              <w:rPr>
                <w:rStyle w:val="105pt0pt"/>
                <w:rFonts w:eastAsia="Microsoft Sans Serif"/>
                <w:sz w:val="24"/>
                <w:szCs w:val="24"/>
              </w:rPr>
              <w:t>-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F2AC5" w:rsidRPr="00D158B6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0F2AC5" w:rsidRPr="00D43E0B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FC">
              <w:rPr>
                <w:rFonts w:ascii="Times New Roman" w:hAnsi="Times New Roman" w:cs="Times New Roman"/>
                <w:sz w:val="24"/>
                <w:szCs w:val="24"/>
              </w:rPr>
              <w:t xml:space="preserve">підпункт 1 пункту 1 статті 37 </w:t>
            </w:r>
            <w:r w:rsidRPr="00713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131FC">
              <w:rPr>
                <w:rFonts w:ascii="Times New Roman" w:hAnsi="Times New Roman" w:cs="Times New Roman"/>
                <w:sz w:val="24"/>
                <w:szCs w:val="24"/>
              </w:rPr>
              <w:t xml:space="preserve"> – «формування та ведення реєстру територіальної громади відповідно до закону»</w:t>
            </w:r>
          </w:p>
        </w:tc>
        <w:tc>
          <w:tcPr>
            <w:tcW w:w="10040" w:type="dxa"/>
          </w:tcPr>
          <w:p w:rsidR="002E4BA5" w:rsidRPr="002E4BA5" w:rsidRDefault="000F2AC5" w:rsidP="002E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BA5" w:rsidRPr="002E4BA5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виконавчому комітеті Сумської міської ради сформовано реєстр територіальної громади, проведено підключення до нової версії програмного засобу відомчої інформаційної системи ДМС через офіційний веб-сайт  (</w:t>
            </w:r>
            <w:proofErr w:type="spellStart"/>
            <w:r w:rsidR="002E4BA5" w:rsidRPr="002E4BA5">
              <w:rPr>
                <w:rFonts w:ascii="Times New Roman" w:hAnsi="Times New Roman" w:cs="Times New Roman"/>
                <w:sz w:val="24"/>
                <w:szCs w:val="24"/>
              </w:rPr>
              <w:t>rtg.dmsu.gov.ua</w:t>
            </w:r>
            <w:proofErr w:type="spellEnd"/>
            <w:r w:rsidR="002E4BA5" w:rsidRPr="002E4BA5">
              <w:rPr>
                <w:rFonts w:ascii="Times New Roman" w:hAnsi="Times New Roman" w:cs="Times New Roman"/>
                <w:sz w:val="24"/>
                <w:szCs w:val="24"/>
              </w:rPr>
              <w:t>) для внесення відповідної інформації про реєстрацію</w:t>
            </w:r>
            <w:r w:rsidR="009C7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4BA5" w:rsidRPr="002E4BA5">
              <w:rPr>
                <w:rFonts w:ascii="Times New Roman" w:hAnsi="Times New Roman" w:cs="Times New Roman"/>
                <w:sz w:val="24"/>
                <w:szCs w:val="24"/>
              </w:rPr>
              <w:t>зняття з реєстрації фізичних осіб в електронній формі. За звітній період в рамках наповнення зазначеного реєстру проведено:</w:t>
            </w:r>
          </w:p>
          <w:p w:rsidR="002E4BA5" w:rsidRPr="002E4BA5" w:rsidRDefault="002E4BA5" w:rsidP="002E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Найменування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4BA5" w:rsidRPr="002E4BA5" w:rsidRDefault="002E4BA5" w:rsidP="002E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  <w:t>Реєстрація місця проживання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  <w:t>7681</w:t>
            </w:r>
          </w:p>
          <w:p w:rsidR="002E4BA5" w:rsidRPr="002E4BA5" w:rsidRDefault="002E4BA5" w:rsidP="002E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  <w:t>Зняття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реєстрації місця 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10048</w:t>
            </w:r>
          </w:p>
          <w:p w:rsidR="002E4BA5" w:rsidRPr="002E4BA5" w:rsidRDefault="002E4BA5" w:rsidP="002E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  <w:t>Зміна назви вулиці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  <w:p w:rsidR="000F2AC5" w:rsidRPr="007131FC" w:rsidRDefault="002E4BA5" w:rsidP="002E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  <w:t>Довідка про реєстрацію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проживання, склад зареєстрованих у житлових приміщеннях осіб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E4BA5">
              <w:rPr>
                <w:rFonts w:ascii="Times New Roman" w:hAnsi="Times New Roman" w:cs="Times New Roman"/>
                <w:sz w:val="24"/>
                <w:szCs w:val="24"/>
              </w:rPr>
              <w:t>29524</w:t>
            </w:r>
          </w:p>
        </w:tc>
        <w:tc>
          <w:tcPr>
            <w:tcW w:w="2020" w:type="dxa"/>
          </w:tcPr>
          <w:p w:rsidR="000F2AC5" w:rsidRDefault="000F2AC5" w:rsidP="00EE5682">
            <w:pPr>
              <w:rPr>
                <w:b/>
                <w:sz w:val="24"/>
                <w:szCs w:val="24"/>
              </w:rPr>
            </w:pPr>
          </w:p>
          <w:p w:rsidR="000F2AC5" w:rsidRPr="00FA3624" w:rsidRDefault="000F2AC5" w:rsidP="00EE5682">
            <w:pPr>
              <w:rPr>
                <w:sz w:val="24"/>
                <w:szCs w:val="24"/>
              </w:rPr>
            </w:pPr>
          </w:p>
          <w:p w:rsidR="000F2AC5" w:rsidRDefault="000F2AC5" w:rsidP="00EE5682">
            <w:pPr>
              <w:rPr>
                <w:sz w:val="24"/>
                <w:szCs w:val="24"/>
              </w:rPr>
            </w:pPr>
          </w:p>
          <w:p w:rsidR="000F2AC5" w:rsidRDefault="000F2AC5" w:rsidP="00EE5682">
            <w:pPr>
              <w:rPr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</w:rPr>
            </w:pPr>
          </w:p>
          <w:p w:rsidR="009C7655" w:rsidRDefault="009C7655" w:rsidP="00EE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</w:t>
            </w:r>
          </w:p>
          <w:p w:rsidR="009C7655" w:rsidRDefault="009C7655" w:rsidP="00EE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10048</w:t>
            </w:r>
          </w:p>
          <w:p w:rsidR="009C7655" w:rsidRDefault="009C7655" w:rsidP="00EE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  <w:p w:rsidR="009C7655" w:rsidRDefault="009C7655" w:rsidP="00EE5682">
            <w:pPr>
              <w:rPr>
                <w:rFonts w:ascii="Times New Roman" w:hAnsi="Times New Roman" w:cs="Times New Roman"/>
              </w:rPr>
            </w:pPr>
          </w:p>
          <w:p w:rsidR="009C7655" w:rsidRPr="000F430F" w:rsidRDefault="009C7655" w:rsidP="00EE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29524</w:t>
            </w:r>
          </w:p>
        </w:tc>
      </w:tr>
      <w:tr w:rsidR="000F2AC5" w:rsidRPr="00D43E0B" w:rsidTr="00EE5682">
        <w:trPr>
          <w:trHeight w:val="256"/>
        </w:trPr>
        <w:tc>
          <w:tcPr>
            <w:tcW w:w="621" w:type="dxa"/>
          </w:tcPr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B28C2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Pr="00D158B6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Style w:val="rvts4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підпункт </w:t>
            </w:r>
            <w:r>
              <w:rPr>
                <w:rStyle w:val="rvts46"/>
                <w:rFonts w:ascii="Times New Roman" w:hAnsi="Times New Roman" w:cs="Times New Roman"/>
                <w:sz w:val="24"/>
                <w:szCs w:val="24"/>
              </w:rPr>
              <w:t>5</w:t>
            </w:r>
            <w:r w:rsidRPr="000B28C2">
              <w:rPr>
                <w:rStyle w:val="rvts46"/>
                <w:rFonts w:ascii="Times New Roman" w:hAnsi="Times New Roman" w:cs="Times New Roman"/>
                <w:sz w:val="24"/>
                <w:szCs w:val="24"/>
              </w:rPr>
              <w:t xml:space="preserve"> пункту "б" частини першої статті 38 – «вчинення нотаріальних дій з питань, віднесених законом до їх відання, реєстрація актів цивільного стану</w:t>
            </w:r>
            <w:r>
              <w:rPr>
                <w:rStyle w:val="rvts4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rPr>
                <w:rStyle w:val="rvts46"/>
                <w:rFonts w:ascii="Times New Roman" w:hAnsi="Times New Roman" w:cs="Times New Roman"/>
                <w:sz w:val="24"/>
                <w:szCs w:val="24"/>
              </w:rPr>
            </w:pPr>
          </w:p>
          <w:p w:rsidR="000F2AC5" w:rsidRPr="00D43E0B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0B">
              <w:rPr>
                <w:rStyle w:val="rvts46"/>
                <w:rFonts w:ascii="Times New Roman" w:hAnsi="Times New Roman" w:cs="Times New Roman"/>
                <w:sz w:val="24"/>
                <w:szCs w:val="24"/>
              </w:rPr>
              <w:lastRenderedPageBreak/>
              <w:t>підпункт 7 пункту "б" частини першої статті 38 – «</w:t>
            </w:r>
            <w:r w:rsidRPr="00D43E0B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державна реєстрація у встановленому порядку юридичних осіб та фізичних осіб – підприємців»</w:t>
            </w:r>
          </w:p>
        </w:tc>
        <w:tc>
          <w:tcPr>
            <w:tcW w:w="10040" w:type="dxa"/>
          </w:tcPr>
          <w:p w:rsidR="000B28C2" w:rsidRPr="000B28C2" w:rsidRDefault="000F2AC5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0B28C2" w:rsidRPr="000B28C2">
              <w:rPr>
                <w:rFonts w:ascii="Times New Roman" w:hAnsi="Times New Roman" w:cs="Times New Roman"/>
                <w:sz w:val="24"/>
                <w:szCs w:val="24"/>
              </w:rPr>
              <w:t>На виконання 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 з метою спрощення порядку надання адміністративних послуг у сфері державної реєстрації актів цивільного стану наказом Міністерства юстиції України від 29.08.2018 № 2825/5 «Про затвердження Змін до деяких нормативно-правових актів у сфері державної реєстрації актів цивільного стану» (із змінами) у місті Суми надання адміністративних послуг у сфері державної реєстрації актів цивільного стану здійснюється через управління «Центр надання адміністративних послуг у м. Суми» Сумської міської ради.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січня 2020 року управління «Центр надання адміністративних послуг у м. Суми» Сумської міської ради надає адміністративні послуги у сфері державної реєстрації актів цивільного стану, а саме: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- реєстрація народження відповідно до частини першої статті 122, частини першої статті 135 Сімейного кодексу України виключно у разі звернення заявників із заявою про державну реєстрацію народження, поданою не пізніше одного місяця від дня народження дитини;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- реєстрація смерті;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- зміна імені;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- реєстрація розірвання шлюбу за спільною заявою подружжя, яке не має дітей.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Крім цього, у 2020 році на виконання постанови Кабінету Міністрів України від 10.07.2019 № 691 «Про реалізацію експериментального проекту щодо створення сприятливих умов для реалізації прав дитини» та Меморандуму про співробітництво між Сумською міською радою та Північно-Східним міжрегіональним управлінням Міністерства юстиції (м. Суми) щодо надання адміністративних послуг у сфері державної реєстрації актів цивільного стану управління «Центр надання адміністративних послуг у м. Суми» Сумської міської ради розпочало надання комплексної послуги «</w:t>
            </w:r>
            <w:proofErr w:type="spellStart"/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єМалятко</w:t>
            </w:r>
            <w:proofErr w:type="spellEnd"/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» через Портал «Дія».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Також, Законом України «Про внесення змін до деяких законів України щодо забезпечення прав громадян на доступ до державної реєстрації актів цивільного стану у зв’язку з укрупненням територіальних громад» внесено зміни до підпункту 5 пункту "б" частини першої статті 38 Закону України «Про місцеве самоврядування в Україні» та Закону України «Про державну реєстрацію актів цивільного стану», а саме органам місцевого самоврядування (всім без виключення) надані повноваження щодо реєстрація актів цивільного стану: реєстрації народження, смерті та шлюбу.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Так, за І півріччя 2021 року у питань державної реєстрації актів цивільного стану було надано 39 адміністративних послуги, з яких: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19 – реєстрація народження дитини (комплексна послуга «</w:t>
            </w:r>
            <w:proofErr w:type="spellStart"/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єМалятко</w:t>
            </w:r>
            <w:proofErr w:type="spellEnd"/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7 – реєстрація розірвання шлюбу за спільною заявою подружжя, яке не має дітей;</w:t>
            </w:r>
          </w:p>
          <w:p w:rsidR="000B28C2" w:rsidRP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11 – зміна імені;</w:t>
            </w:r>
          </w:p>
          <w:p w:rsidR="000B28C2" w:rsidRDefault="000B28C2" w:rsidP="000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2">
              <w:rPr>
                <w:rFonts w:ascii="Times New Roman" w:hAnsi="Times New Roman" w:cs="Times New Roman"/>
                <w:sz w:val="24"/>
                <w:szCs w:val="24"/>
              </w:rPr>
              <w:t>2 – реєстрація смерті.</w:t>
            </w:r>
          </w:p>
          <w:p w:rsidR="000B28C2" w:rsidRDefault="000B28C2" w:rsidP="003A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3A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3A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3A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82" w:rsidRPr="00500782" w:rsidRDefault="003A3362" w:rsidP="0050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3A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07">
              <w:rPr>
                <w:rFonts w:ascii="Times New Roman" w:hAnsi="Times New Roman" w:cs="Times New Roman"/>
                <w:sz w:val="24"/>
                <w:szCs w:val="24"/>
              </w:rPr>
              <w:t>І півріччя</w:t>
            </w:r>
            <w:r w:rsidR="0050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82" w:rsidRPr="00500782">
              <w:rPr>
                <w:rFonts w:ascii="Times New Roman" w:hAnsi="Times New Roman" w:cs="Times New Roman"/>
                <w:sz w:val="24"/>
                <w:szCs w:val="24"/>
              </w:rPr>
              <w:t xml:space="preserve">було організовано роботу відділу для проведення своєчасної державної реєстрації та інших реєстраційних дій, ведення Єдиного державного реєстру (далі - ЄДР) та надання відомостей з нього, крім того здійснення інших повноважень передбачених Законом України «Про державну реєстрацію юридичних осіб, фізичних осіб – підприємців та громадських формувань». Відділом задекларовано надання 33 адміністративних послуги. Протягом зазначеного періоду було надано 5583 адміністративні послуги, у тому числі державна реєстрація юридичних осіб, внесення змін до установчих документів юридичних осіб, внесення відомостей про юридичну особу, що не пов’язані зі змінами в установчих документах (зміна назви, засновників та відомостей про них, видів економічної діяльності, місцезнаходження, керівника, підписанта, порядок підписання установчих документів, внесення </w:t>
            </w:r>
            <w:proofErr w:type="spellStart"/>
            <w:r w:rsidR="00500782" w:rsidRPr="00500782">
              <w:rPr>
                <w:rFonts w:ascii="Times New Roman" w:hAnsi="Times New Roman" w:cs="Times New Roman"/>
                <w:sz w:val="24"/>
                <w:szCs w:val="24"/>
              </w:rPr>
              <w:t>бенефіціарних</w:t>
            </w:r>
            <w:proofErr w:type="spellEnd"/>
            <w:r w:rsidR="00500782" w:rsidRPr="00500782">
              <w:rPr>
                <w:rFonts w:ascii="Times New Roman" w:hAnsi="Times New Roman" w:cs="Times New Roman"/>
                <w:sz w:val="24"/>
                <w:szCs w:val="24"/>
              </w:rPr>
              <w:t xml:space="preserve"> власників (контролерів) юридичних осіб, технічна помилка), припинення юридичної особи за рішенням засновника, уповноваженого органу, внесення судових рішень за несвоєчасне подання декларацій на протязі року, ухвал пов’язаних з банкрутством; державна реєстрація фізичної особи – підприємця. За результатами надання адміністративних послуг до міського бюджету надійшло близько 350000 грн.</w:t>
            </w:r>
          </w:p>
          <w:p w:rsidR="00500782" w:rsidRPr="00500782" w:rsidRDefault="00500782" w:rsidP="0050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82">
              <w:rPr>
                <w:rFonts w:ascii="Times New Roman" w:hAnsi="Times New Roman" w:cs="Times New Roman"/>
                <w:sz w:val="24"/>
                <w:szCs w:val="24"/>
              </w:rPr>
              <w:t>Проводиться постійна співпраця з правоохоронними органами та судовими інстанціями, а саме, проведення виїмок на підставі вмотивованих постанов та ухвал суду, витребування документів, участь у судових засіданнях, як третіх осіб, звернення до поліції із заявами про підозри вчинення злочинів, виконання судових рішень.</w:t>
            </w:r>
          </w:p>
          <w:p w:rsidR="00500782" w:rsidRPr="008F0774" w:rsidRDefault="00500782" w:rsidP="0050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82">
              <w:rPr>
                <w:rFonts w:ascii="Times New Roman" w:hAnsi="Times New Roman" w:cs="Times New Roman"/>
                <w:sz w:val="24"/>
                <w:szCs w:val="24"/>
              </w:rPr>
              <w:t>Взято на облік 111 реєстраційні справи, що надійшли від інших органів державної реєстрації. Знято з обліку 131 реєстраційних справ.</w:t>
            </w:r>
          </w:p>
          <w:p w:rsidR="000F2AC5" w:rsidRPr="008F0774" w:rsidRDefault="000F2AC5" w:rsidP="007C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C2" w:rsidRDefault="000B28C2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5" w:rsidRDefault="009C765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уло надано </w:t>
            </w:r>
            <w:r w:rsidR="00500782"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  <w:p w:rsidR="000F2AC5" w:rsidRPr="008F0774" w:rsidRDefault="000F2AC5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адміністративн</w:t>
            </w:r>
            <w:r w:rsidR="005007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послу</w:t>
            </w:r>
            <w:r w:rsidR="00776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0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F2AC5" w:rsidRPr="00D43E0B" w:rsidTr="00EE5682">
        <w:trPr>
          <w:trHeight w:val="441"/>
        </w:trPr>
        <w:tc>
          <w:tcPr>
            <w:tcW w:w="621" w:type="dxa"/>
          </w:tcPr>
          <w:p w:rsidR="000F2AC5" w:rsidRDefault="000B28C2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F2AC5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Pr="00D158B6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F2AC5" w:rsidRPr="00D43E0B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E0B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підпункт 8 пункту «б» частини першої статті 38 – «державна реєстрація речових прав на нерухоме майно та їх обтяжень»</w:t>
            </w:r>
          </w:p>
        </w:tc>
        <w:tc>
          <w:tcPr>
            <w:tcW w:w="10040" w:type="dxa"/>
          </w:tcPr>
          <w:p w:rsidR="000F2AC5" w:rsidRPr="008F0774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звітний період 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відділом державної реєстрації речових прав на нерухоме майно та їх обтяжень надано наступний перелік адміністративних послуг:</w:t>
            </w:r>
          </w:p>
          <w:p w:rsidR="000F2AC5" w:rsidRPr="008F0774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ержавна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реєстрація права власності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AC5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ержавна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реєстрація інших речових прав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AC5" w:rsidRPr="008F0774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адано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консультацій, в т.ч. відповіді на письмові звернення громадян, юридичних осіб, органів державної влади та місцевого самоврядування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AC5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ержавна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реєстрація обтяжень речових прав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AC5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ідкликання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заяв про державну реєстрацію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AC5" w:rsidRPr="008F0774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ержавна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реєстрація внесення змін до записів Державного реєстру прав</w:t>
            </w:r>
          </w:p>
          <w:p w:rsidR="000F2AC5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  <w:r w:rsidRPr="008F0774">
              <w:rPr>
                <w:rFonts w:ascii="Times New Roman" w:hAnsi="Times New Roman" w:cs="Times New Roman"/>
                <w:sz w:val="24"/>
                <w:szCs w:val="24"/>
              </w:rPr>
              <w:t xml:space="preserve"> у судових засіданнях</w:t>
            </w:r>
            <w:r w:rsidRPr="008F0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2AC5" w:rsidRPr="00E2611D" w:rsidRDefault="000F2AC5" w:rsidP="00EE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62" w:rsidRPr="00257574" w:rsidRDefault="00257574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B0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3A3362" w:rsidRPr="00257574" w:rsidRDefault="009A2B0C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  <w:p w:rsidR="003A3362" w:rsidRPr="003A3362" w:rsidRDefault="003A3362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62" w:rsidRPr="00257574" w:rsidRDefault="009A2B0C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3A3362" w:rsidRPr="00257574" w:rsidRDefault="009A2B0C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A3362" w:rsidRPr="00257574" w:rsidRDefault="009A2B0C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A3362" w:rsidRPr="00257574" w:rsidRDefault="009A2B0C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A3362" w:rsidRPr="00257574" w:rsidRDefault="009A2B0C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F2AC5" w:rsidRPr="00257574" w:rsidRDefault="000F2AC5" w:rsidP="0025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5" w:rsidRPr="00D43E0B" w:rsidTr="00EE5682">
        <w:trPr>
          <w:trHeight w:val="2754"/>
        </w:trPr>
        <w:tc>
          <w:tcPr>
            <w:tcW w:w="621" w:type="dxa"/>
          </w:tcPr>
          <w:p w:rsidR="000F2AC5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AC5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C5" w:rsidRPr="00D158B6" w:rsidRDefault="000F2AC5" w:rsidP="00E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F2AC5" w:rsidRPr="00D43E0B" w:rsidRDefault="000F2AC5" w:rsidP="00EE5682">
            <w:pPr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підпункт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пункту «б» частини першої статті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«надання відомостей з </w:t>
            </w:r>
            <w:r w:rsidRPr="009F0BF2">
              <w:rPr>
                <w:rFonts w:ascii="Times New Roman" w:hAnsi="Times New Roman" w:cs="Times New Roman"/>
                <w:sz w:val="24"/>
                <w:szCs w:val="24"/>
              </w:rPr>
              <w:t>Державного земельного кадастру відповідно до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0" w:type="dxa"/>
          </w:tcPr>
          <w:p w:rsidR="000F2AC5" w:rsidRPr="004A57BF" w:rsidRDefault="000F2AC5" w:rsidP="0076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914">
              <w:rPr>
                <w:rFonts w:ascii="Times New Roman" w:hAnsi="Times New Roman" w:cs="Times New Roman"/>
                <w:sz w:val="24"/>
                <w:szCs w:val="24"/>
              </w:rPr>
              <w:t>Відповідно до Закону України « Про Державний земельний кадастр»   адміністратор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93914">
              <w:rPr>
                <w:rFonts w:ascii="Times New Roman" w:hAnsi="Times New Roman" w:cs="Times New Roman"/>
                <w:sz w:val="24"/>
                <w:szCs w:val="24"/>
              </w:rPr>
              <w:t xml:space="preserve"> ЦНАП було видано</w:t>
            </w:r>
            <w:r w:rsidR="00AB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A5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59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914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93914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кадастру про земельну ділянку.</w:t>
            </w:r>
          </w:p>
        </w:tc>
        <w:tc>
          <w:tcPr>
            <w:tcW w:w="2020" w:type="dxa"/>
          </w:tcPr>
          <w:p w:rsidR="000F2AC5" w:rsidRPr="00F97A44" w:rsidRDefault="000F2AC5" w:rsidP="00763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Видано </w:t>
            </w:r>
            <w:r w:rsidR="00763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витягів</w:t>
            </w:r>
            <w:proofErr w:type="spellEnd"/>
          </w:p>
        </w:tc>
      </w:tr>
    </w:tbl>
    <w:p w:rsidR="000F2AC5" w:rsidRDefault="000F2AC5" w:rsidP="000F2AC5">
      <w:pPr>
        <w:tabs>
          <w:tab w:val="left" w:pos="67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C5" w:rsidRDefault="000F2AC5" w:rsidP="000F2AC5">
      <w:pPr>
        <w:tabs>
          <w:tab w:val="left" w:pos="67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C5" w:rsidRPr="00E62993" w:rsidRDefault="00730361" w:rsidP="000F2AC5">
      <w:pPr>
        <w:tabs>
          <w:tab w:val="left" w:pos="67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о. н</w:t>
      </w:r>
      <w:r w:rsidR="000F2AC5" w:rsidRPr="00E6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F2AC5" w:rsidRPr="00E6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B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F2AC5" w:rsidRPr="00E6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0F2AC5" w:rsidRPr="00E6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Колодка</w:t>
      </w:r>
    </w:p>
    <w:p w:rsidR="000F2AC5" w:rsidRDefault="000F2AC5" w:rsidP="000F2AC5">
      <w:pPr>
        <w:tabs>
          <w:tab w:val="left" w:pos="67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C5" w:rsidRPr="0028236C" w:rsidRDefault="000F2AC5" w:rsidP="000F2AC5">
      <w:pPr>
        <w:tabs>
          <w:tab w:val="left" w:pos="67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Віннік</w:t>
      </w:r>
      <w:proofErr w:type="spellEnd"/>
      <w:r w:rsidRPr="0028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700-57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2AC5" w:rsidRDefault="000F2AC5" w:rsidP="000F2AC5"/>
    <w:p w:rsidR="002D48BB" w:rsidRPr="000F2AC5" w:rsidRDefault="002D48BB" w:rsidP="000F2AC5"/>
    <w:sectPr w:rsidR="002D48BB" w:rsidRPr="000F2AC5" w:rsidSect="00746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712E"/>
    <w:multiLevelType w:val="multilevel"/>
    <w:tmpl w:val="9C8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F"/>
    <w:rsid w:val="000B28C2"/>
    <w:rsid w:val="000B6C37"/>
    <w:rsid w:val="000F2AC5"/>
    <w:rsid w:val="000F77B2"/>
    <w:rsid w:val="00176205"/>
    <w:rsid w:val="001A341F"/>
    <w:rsid w:val="001F7319"/>
    <w:rsid w:val="00257574"/>
    <w:rsid w:val="002D0718"/>
    <w:rsid w:val="002D48BB"/>
    <w:rsid w:val="002E4BA5"/>
    <w:rsid w:val="00332B19"/>
    <w:rsid w:val="00345978"/>
    <w:rsid w:val="00363D60"/>
    <w:rsid w:val="0038745C"/>
    <w:rsid w:val="003A3362"/>
    <w:rsid w:val="004066D0"/>
    <w:rsid w:val="00443431"/>
    <w:rsid w:val="00500782"/>
    <w:rsid w:val="006107B9"/>
    <w:rsid w:val="00623137"/>
    <w:rsid w:val="006631FC"/>
    <w:rsid w:val="00676601"/>
    <w:rsid w:val="006D113D"/>
    <w:rsid w:val="006E5CE7"/>
    <w:rsid w:val="00730361"/>
    <w:rsid w:val="00763A52"/>
    <w:rsid w:val="007768D3"/>
    <w:rsid w:val="007A727A"/>
    <w:rsid w:val="007C1AE7"/>
    <w:rsid w:val="007C2307"/>
    <w:rsid w:val="007E20AB"/>
    <w:rsid w:val="0080428A"/>
    <w:rsid w:val="008A59E3"/>
    <w:rsid w:val="008B30D6"/>
    <w:rsid w:val="00975672"/>
    <w:rsid w:val="00975F02"/>
    <w:rsid w:val="009A2B0C"/>
    <w:rsid w:val="009B0E43"/>
    <w:rsid w:val="009B5B35"/>
    <w:rsid w:val="009C7655"/>
    <w:rsid w:val="00A451F1"/>
    <w:rsid w:val="00A94357"/>
    <w:rsid w:val="00A97B20"/>
    <w:rsid w:val="00AB5C7A"/>
    <w:rsid w:val="00AC6DE9"/>
    <w:rsid w:val="00B87794"/>
    <w:rsid w:val="00BC2FA8"/>
    <w:rsid w:val="00CB044C"/>
    <w:rsid w:val="00CB52A8"/>
    <w:rsid w:val="00CC78BB"/>
    <w:rsid w:val="00D95E48"/>
    <w:rsid w:val="00DC05A2"/>
    <w:rsid w:val="00EE30D9"/>
    <w:rsid w:val="00EF2862"/>
    <w:rsid w:val="00F625CB"/>
    <w:rsid w:val="00F67F23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C0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C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0F2AC5"/>
  </w:style>
  <w:style w:type="character" w:customStyle="1" w:styleId="rvts46">
    <w:name w:val="rvts46"/>
    <w:basedOn w:val="a0"/>
    <w:rsid w:val="000F2AC5"/>
  </w:style>
  <w:style w:type="paragraph" w:styleId="a4">
    <w:name w:val="No Spacing"/>
    <w:uiPriority w:val="1"/>
    <w:qFormat/>
    <w:rsid w:val="000F2AC5"/>
    <w:pPr>
      <w:spacing w:after="0" w:line="240" w:lineRule="auto"/>
    </w:pPr>
    <w:rPr>
      <w:lang w:val="uk-UA"/>
    </w:rPr>
  </w:style>
  <w:style w:type="character" w:customStyle="1" w:styleId="a5">
    <w:name w:val="Основной текст_"/>
    <w:basedOn w:val="a0"/>
    <w:link w:val="2"/>
    <w:rsid w:val="000F2AC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0F2AC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MicrosoftSansSerif12pt0pt">
    <w:name w:val="Основной текст + Microsoft Sans Serif;12 pt;Интервал 0 pt"/>
    <w:basedOn w:val="a5"/>
    <w:rsid w:val="000F2AC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0F2AC5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C0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6">
    <w:name w:val="Normal (Web)"/>
    <w:basedOn w:val="a"/>
    <w:uiPriority w:val="99"/>
    <w:semiHidden/>
    <w:unhideWhenUsed/>
    <w:rsid w:val="00DC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1F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C0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C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0F2AC5"/>
  </w:style>
  <w:style w:type="character" w:customStyle="1" w:styleId="rvts46">
    <w:name w:val="rvts46"/>
    <w:basedOn w:val="a0"/>
    <w:rsid w:val="000F2AC5"/>
  </w:style>
  <w:style w:type="paragraph" w:styleId="a4">
    <w:name w:val="No Spacing"/>
    <w:uiPriority w:val="1"/>
    <w:qFormat/>
    <w:rsid w:val="000F2AC5"/>
    <w:pPr>
      <w:spacing w:after="0" w:line="240" w:lineRule="auto"/>
    </w:pPr>
    <w:rPr>
      <w:lang w:val="uk-UA"/>
    </w:rPr>
  </w:style>
  <w:style w:type="character" w:customStyle="1" w:styleId="a5">
    <w:name w:val="Основной текст_"/>
    <w:basedOn w:val="a0"/>
    <w:link w:val="2"/>
    <w:rsid w:val="000F2AC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0F2AC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MicrosoftSansSerif12pt0pt">
    <w:name w:val="Основной текст + Microsoft Sans Serif;12 pt;Интервал 0 pt"/>
    <w:basedOn w:val="a5"/>
    <w:rsid w:val="000F2AC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0F2AC5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C0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6">
    <w:name w:val="Normal (Web)"/>
    <w:basedOn w:val="a"/>
    <w:uiPriority w:val="99"/>
    <w:semiHidden/>
    <w:unhideWhenUsed/>
    <w:rsid w:val="00DC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1F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41</cp:revision>
  <cp:lastPrinted>2021-06-25T11:55:00Z</cp:lastPrinted>
  <dcterms:created xsi:type="dcterms:W3CDTF">2019-12-28T08:01:00Z</dcterms:created>
  <dcterms:modified xsi:type="dcterms:W3CDTF">2021-06-25T11:55:00Z</dcterms:modified>
</cp:coreProperties>
</file>