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65" w:rsidRPr="005B6870" w:rsidRDefault="00E36E65" w:rsidP="00E36E6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«ПОГОДЖЕНО</w:t>
      </w:r>
      <w:r w:rsidRPr="005B6870">
        <w:rPr>
          <w:rFonts w:ascii="Verdana" w:hAnsi="Verdana"/>
          <w:b/>
          <w:sz w:val="20"/>
          <w:szCs w:val="20"/>
        </w:rPr>
        <w:t xml:space="preserve">»                </w:t>
      </w:r>
      <w:r>
        <w:rPr>
          <w:rFonts w:ascii="Verdana" w:hAnsi="Verdana"/>
          <w:b/>
          <w:sz w:val="20"/>
          <w:szCs w:val="20"/>
        </w:rPr>
        <w:t xml:space="preserve">                             «ЗАТВЕРДЖУЮ</w:t>
      </w:r>
      <w:r w:rsidRPr="005B6870">
        <w:rPr>
          <w:rFonts w:ascii="Verdana" w:hAnsi="Verdana"/>
          <w:b/>
          <w:sz w:val="20"/>
          <w:szCs w:val="20"/>
        </w:rPr>
        <w:t>»</w:t>
      </w:r>
    </w:p>
    <w:p w:rsidR="00E36E65" w:rsidRDefault="00E36E65" w:rsidP="00E36E65">
      <w:pPr>
        <w:rPr>
          <w:rFonts w:ascii="Verdana" w:hAnsi="Verdana"/>
          <w:b/>
          <w:sz w:val="20"/>
          <w:szCs w:val="20"/>
        </w:rPr>
      </w:pPr>
      <w:r w:rsidRPr="005B6870">
        <w:rPr>
          <w:rFonts w:ascii="Verdana" w:hAnsi="Verdana"/>
          <w:b/>
          <w:sz w:val="20"/>
          <w:szCs w:val="20"/>
        </w:rPr>
        <w:t>Заст</w:t>
      </w:r>
      <w:r>
        <w:rPr>
          <w:rFonts w:ascii="Verdana" w:hAnsi="Verdana"/>
          <w:b/>
          <w:sz w:val="20"/>
          <w:szCs w:val="20"/>
        </w:rPr>
        <w:t xml:space="preserve">упник міського голови,           </w:t>
      </w:r>
      <w:r w:rsidRPr="005B6870">
        <w:rPr>
          <w:rFonts w:ascii="Verdana" w:hAnsi="Verdana"/>
          <w:b/>
          <w:sz w:val="20"/>
          <w:szCs w:val="20"/>
        </w:rPr>
        <w:t xml:space="preserve">        </w:t>
      </w:r>
      <w:r>
        <w:rPr>
          <w:rFonts w:ascii="Verdana" w:hAnsi="Verdana"/>
          <w:b/>
          <w:sz w:val="20"/>
          <w:szCs w:val="20"/>
        </w:rPr>
        <w:t xml:space="preserve">     Директор департаменту</w:t>
      </w:r>
      <w:r w:rsidRPr="005B6870">
        <w:rPr>
          <w:rFonts w:ascii="Verdana" w:hAnsi="Verdana"/>
          <w:b/>
          <w:sz w:val="20"/>
          <w:szCs w:val="20"/>
        </w:rPr>
        <w:t xml:space="preserve"> інфраструктури 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E36E65" w:rsidRPr="005B6870" w:rsidRDefault="00E36E65" w:rsidP="00E36E65">
      <w:pPr>
        <w:rPr>
          <w:rFonts w:ascii="Verdana" w:hAnsi="Verdana"/>
          <w:b/>
          <w:sz w:val="20"/>
          <w:szCs w:val="20"/>
        </w:rPr>
      </w:pPr>
      <w:r w:rsidRPr="005B6870">
        <w:rPr>
          <w:rFonts w:ascii="Verdana" w:hAnsi="Verdana"/>
          <w:b/>
          <w:sz w:val="20"/>
          <w:szCs w:val="20"/>
        </w:rPr>
        <w:t xml:space="preserve">керуючий справами </w:t>
      </w:r>
      <w:r>
        <w:rPr>
          <w:rFonts w:ascii="Verdana" w:hAnsi="Verdana"/>
          <w:b/>
          <w:sz w:val="20"/>
          <w:szCs w:val="20"/>
        </w:rPr>
        <w:t xml:space="preserve">                                    міста</w:t>
      </w:r>
      <w:r w:rsidRPr="00DF4CF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Сумської міської ради</w:t>
      </w:r>
    </w:p>
    <w:p w:rsidR="00E36E65" w:rsidRDefault="00E36E65" w:rsidP="00E36E65">
      <w:pPr>
        <w:rPr>
          <w:rFonts w:ascii="Verdana" w:hAnsi="Verdana"/>
          <w:b/>
          <w:sz w:val="20"/>
          <w:szCs w:val="20"/>
        </w:rPr>
      </w:pPr>
      <w:r w:rsidRPr="005B6870">
        <w:rPr>
          <w:rFonts w:ascii="Verdana" w:hAnsi="Verdana"/>
          <w:b/>
          <w:sz w:val="20"/>
          <w:szCs w:val="20"/>
        </w:rPr>
        <w:t>виконавчого комітету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</w:t>
      </w:r>
      <w:r w:rsidRPr="005B6870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>____________</w:t>
      </w:r>
      <w:r w:rsidRPr="005B6870">
        <w:rPr>
          <w:rFonts w:ascii="Verdana" w:hAnsi="Verdana"/>
          <w:b/>
          <w:sz w:val="20"/>
          <w:szCs w:val="20"/>
        </w:rPr>
        <w:t xml:space="preserve"> В. М.</w:t>
      </w:r>
      <w:r w:rsidRPr="00DF4CF2">
        <w:rPr>
          <w:rFonts w:ascii="Verdana" w:hAnsi="Verdana"/>
          <w:b/>
          <w:sz w:val="20"/>
          <w:szCs w:val="20"/>
        </w:rPr>
        <w:t xml:space="preserve"> </w:t>
      </w:r>
      <w:r w:rsidRPr="005B6870">
        <w:rPr>
          <w:rFonts w:ascii="Verdana" w:hAnsi="Verdana"/>
          <w:b/>
          <w:sz w:val="20"/>
          <w:szCs w:val="20"/>
        </w:rPr>
        <w:t xml:space="preserve">Волонтирець </w:t>
      </w:r>
      <w:r>
        <w:rPr>
          <w:rFonts w:ascii="Verdana" w:hAnsi="Verdana"/>
          <w:b/>
          <w:sz w:val="20"/>
          <w:szCs w:val="20"/>
        </w:rPr>
        <w:t xml:space="preserve">               </w:t>
      </w:r>
      <w:r w:rsidRPr="005B6870">
        <w:rPr>
          <w:rFonts w:ascii="Verdana" w:hAnsi="Verdana"/>
          <w:b/>
          <w:sz w:val="20"/>
          <w:szCs w:val="20"/>
        </w:rPr>
        <w:t>________</w:t>
      </w:r>
      <w:r>
        <w:rPr>
          <w:rFonts w:ascii="Verdana" w:hAnsi="Verdana"/>
          <w:b/>
          <w:sz w:val="20"/>
          <w:szCs w:val="20"/>
        </w:rPr>
        <w:t>______ Ю.В. Шнітке</w:t>
      </w:r>
    </w:p>
    <w:p w:rsidR="00E36E65" w:rsidRPr="005B6870" w:rsidRDefault="00E36E65" w:rsidP="00E36E65">
      <w:pPr>
        <w:rPr>
          <w:rFonts w:ascii="Verdana" w:hAnsi="Verdana"/>
          <w:i/>
          <w:sz w:val="16"/>
          <w:szCs w:val="16"/>
        </w:rPr>
      </w:pPr>
      <w:r w:rsidRPr="005B6870">
        <w:rPr>
          <w:rFonts w:ascii="Verdana" w:hAnsi="Verdana"/>
          <w:i/>
          <w:sz w:val="16"/>
          <w:szCs w:val="16"/>
        </w:rPr>
        <w:t xml:space="preserve">          (підпис)</w:t>
      </w: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</w:t>
      </w:r>
      <w:r w:rsidRPr="005B6870">
        <w:rPr>
          <w:rFonts w:ascii="Verdana" w:hAnsi="Verdana"/>
          <w:i/>
          <w:sz w:val="16"/>
          <w:szCs w:val="16"/>
        </w:rPr>
        <w:t>(підпис)</w:t>
      </w: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</w:t>
      </w:r>
      <w:r w:rsidRPr="005B6870">
        <w:rPr>
          <w:rFonts w:ascii="Verdana" w:hAnsi="Verdana"/>
          <w:i/>
          <w:sz w:val="16"/>
          <w:szCs w:val="16"/>
        </w:rPr>
        <w:t xml:space="preserve">          </w:t>
      </w:r>
    </w:p>
    <w:p w:rsidR="00E36E65" w:rsidRPr="007834E1" w:rsidRDefault="00E36E65" w:rsidP="00E36E65">
      <w:pPr>
        <w:rPr>
          <w:rFonts w:ascii="Verdana" w:hAnsi="Verdana"/>
          <w:b/>
          <w:sz w:val="28"/>
          <w:szCs w:val="28"/>
        </w:rPr>
      </w:pPr>
    </w:p>
    <w:p w:rsidR="00E36E65" w:rsidRPr="00DF4CF2" w:rsidRDefault="00E36E65" w:rsidP="00E36E65">
      <w:pPr>
        <w:rPr>
          <w:b/>
        </w:rPr>
      </w:pPr>
      <w:r w:rsidRPr="00DF4CF2">
        <w:rPr>
          <w:b/>
        </w:rPr>
        <w:t xml:space="preserve">МП                                                       </w:t>
      </w:r>
      <w:r>
        <w:rPr>
          <w:b/>
        </w:rPr>
        <w:t xml:space="preserve">         </w:t>
      </w:r>
      <w:r w:rsidRPr="00DF4CF2">
        <w:rPr>
          <w:b/>
        </w:rPr>
        <w:t xml:space="preserve">       МП</w:t>
      </w:r>
    </w:p>
    <w:p w:rsidR="00E36E65" w:rsidRPr="00DF4CF2" w:rsidRDefault="00E36E65" w:rsidP="00E36E65">
      <w:pPr>
        <w:rPr>
          <w:b/>
        </w:rPr>
      </w:pPr>
      <w:r w:rsidRPr="00DF4CF2">
        <w:rPr>
          <w:b/>
        </w:rPr>
        <w:t xml:space="preserve">«___»______________20__ р.          </w:t>
      </w:r>
      <w:r>
        <w:rPr>
          <w:b/>
        </w:rPr>
        <w:t xml:space="preserve">            </w:t>
      </w:r>
      <w:r w:rsidRPr="00DF4CF2">
        <w:rPr>
          <w:b/>
        </w:rPr>
        <w:t xml:space="preserve">   «___»_________________20__ р.</w:t>
      </w:r>
    </w:p>
    <w:p w:rsidR="00E36E65" w:rsidRPr="00D31992" w:rsidRDefault="00E36E65" w:rsidP="00E36E6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36E65" w:rsidRPr="005B6870" w:rsidTr="00A56E8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36E65" w:rsidRPr="00DF4CF2" w:rsidRDefault="00E36E65" w:rsidP="00A56E8C">
            <w:pPr>
              <w:ind w:firstLine="567"/>
              <w:jc w:val="center"/>
              <w:rPr>
                <w:rFonts w:ascii="Verdana" w:hAnsi="Verdana"/>
                <w:b/>
                <w:caps/>
              </w:rPr>
            </w:pPr>
            <w:r w:rsidRPr="00DF4CF2">
              <w:rPr>
                <w:rFonts w:ascii="Verdana" w:hAnsi="Verdana"/>
                <w:b/>
                <w:caps/>
              </w:rPr>
              <w:t>інформаційнА картка</w:t>
            </w:r>
          </w:p>
          <w:p w:rsidR="00E36E65" w:rsidRPr="00D31992" w:rsidRDefault="00E36E65" w:rsidP="00A56E8C">
            <w:pPr>
              <w:ind w:firstLine="567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  <w:p w:rsidR="00E36E65" w:rsidRPr="006746F4" w:rsidRDefault="00E36E65" w:rsidP="00A56E8C">
            <w:pPr>
              <w:tabs>
                <w:tab w:val="left" w:pos="1200"/>
              </w:tabs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</w:pPr>
            <w:r w:rsidRPr="006746F4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 xml:space="preserve">проведення обстежень зелених насаджень, </w:t>
            </w:r>
          </w:p>
          <w:p w:rsidR="00E36E65" w:rsidRPr="006746F4" w:rsidRDefault="00E36E65" w:rsidP="00A56E8C">
            <w:pPr>
              <w:tabs>
                <w:tab w:val="left" w:pos="1200"/>
              </w:tabs>
              <w:jc w:val="center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6746F4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 xml:space="preserve">оформлення і надання відповідних документів </w:t>
            </w:r>
            <w:r w:rsidRPr="006746F4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на їх видалення</w:t>
            </w:r>
          </w:p>
          <w:p w:rsidR="00E36E65" w:rsidRPr="00D31992" w:rsidRDefault="00E36E65" w:rsidP="00A56E8C">
            <w:pPr>
              <w:ind w:firstLine="567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 xml:space="preserve">                                       </w:t>
            </w:r>
            <w:r w:rsidRPr="009463AA">
              <w:rPr>
                <w:rFonts w:ascii="Verdana" w:hAnsi="Verdana"/>
                <w:caps/>
                <w:sz w:val="20"/>
                <w:szCs w:val="20"/>
              </w:rPr>
              <w:t xml:space="preserve"> </w:t>
            </w:r>
            <w:r w:rsidRPr="00D31992">
              <w:rPr>
                <w:rFonts w:ascii="Verdana" w:hAnsi="Verdana"/>
                <w:i/>
                <w:caps/>
                <w:sz w:val="16"/>
                <w:szCs w:val="16"/>
              </w:rPr>
              <w:t>(</w:t>
            </w:r>
            <w:r w:rsidRPr="00D31992">
              <w:rPr>
                <w:rFonts w:ascii="Verdana" w:hAnsi="Verdana"/>
                <w:i/>
                <w:sz w:val="16"/>
                <w:szCs w:val="16"/>
              </w:rPr>
              <w:t>назва адміністративної послуги)</w:t>
            </w:r>
          </w:p>
          <w:p w:rsidR="00E36E65" w:rsidRPr="00625C4B" w:rsidRDefault="00E36E65" w:rsidP="00A56E8C">
            <w:pPr>
              <w:ind w:firstLine="567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36E65" w:rsidRPr="009463AA" w:rsidRDefault="00E36E65" w:rsidP="00A56E8C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Департамент</w:t>
            </w:r>
            <w:r w:rsidRPr="009463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інфраструктури міста Сумської міської ради</w:t>
            </w:r>
          </w:p>
          <w:p w:rsidR="00E36E65" w:rsidRPr="00D31992" w:rsidRDefault="00E36E65" w:rsidP="00A56E8C">
            <w:pPr>
              <w:ind w:firstLine="567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</w:t>
            </w:r>
            <w:r w:rsidRPr="00D31992">
              <w:rPr>
                <w:rFonts w:ascii="Verdana" w:hAnsi="Verdana"/>
                <w:i/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E36E65" w:rsidRDefault="00E36E65" w:rsidP="00A56E8C">
            <w:pPr>
              <w:ind w:firstLine="567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36E65" w:rsidRPr="00625C4B" w:rsidRDefault="00E36E65" w:rsidP="00A56E8C">
            <w:pPr>
              <w:ind w:firstLine="567"/>
              <w:jc w:val="center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248"/>
              <w:gridCol w:w="3027"/>
              <w:gridCol w:w="5353"/>
            </w:tblGrid>
            <w:tr w:rsidR="00E36E65" w:rsidRPr="005B6870" w:rsidTr="00A56E8C">
              <w:trPr>
                <w:trHeight w:val="441"/>
              </w:trPr>
              <w:tc>
                <w:tcPr>
                  <w:tcW w:w="9628" w:type="dxa"/>
                  <w:gridSpan w:val="3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E36E65" w:rsidRPr="005B6870" w:rsidTr="00A56E8C">
              <w:tc>
                <w:tcPr>
                  <w:tcW w:w="4275" w:type="dxa"/>
                  <w:gridSpan w:val="2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353" w:type="dxa"/>
                </w:tcPr>
                <w:p w:rsidR="00E36E65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Управління</w:t>
                  </w:r>
                </w:p>
                <w:p w:rsidR="00E36E65" w:rsidRPr="005B6870" w:rsidRDefault="00E36E65" w:rsidP="00A56E8C">
                  <w:pPr>
                    <w:ind w:firstLine="112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«Центр надання адміністративних послуг у м. Суми»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5353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 xml:space="preserve"> м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. Суми, вул. Горького, 21</w:t>
                  </w:r>
                </w:p>
                <w:p w:rsidR="00E36E65" w:rsidRPr="005B6870" w:rsidRDefault="00E36E65" w:rsidP="00A56E8C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2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Інформація щодо режиму роботи центру надання адміністративної послуги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представника  суб’єкта надання адміністративної послуги, відповідального за надання адміністративної послуги</w:t>
                  </w:r>
                </w:p>
              </w:tc>
              <w:tc>
                <w:tcPr>
                  <w:tcW w:w="5353" w:type="dxa"/>
                </w:tcPr>
                <w:p w:rsidR="00E36E65" w:rsidRPr="00461A90" w:rsidRDefault="00E36E65" w:rsidP="00A56E8C">
                  <w:pPr>
                    <w:jc w:val="both"/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Управління </w:t>
                  </w:r>
                  <w: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   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«Центр </w:t>
                  </w:r>
                  <w: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надання адміністративних послуг у м.</w:t>
                  </w:r>
                  <w: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Суми» Сумської міської ради: </w:t>
                  </w:r>
                </w:p>
                <w:p w:rsidR="00E36E65" w:rsidRPr="00461A90" w:rsidRDefault="00E36E65" w:rsidP="00A56E8C">
                  <w:pPr>
                    <w:jc w:val="both"/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понеділок 8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00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-17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15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, вівторок 8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00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-20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00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, середа 8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00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-17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15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, четвер 8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00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-20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00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, п’ятниця 8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00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-16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00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, субота 8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00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-14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vertAlign w:val="superscript"/>
                      <w:lang w:eastAsia="ru-RU"/>
                    </w:rPr>
                    <w:t>00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.</w:t>
                  </w:r>
                  <w: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неділя – вихідний</w:t>
                  </w:r>
                </w:p>
                <w:p w:rsidR="00E36E65" w:rsidRDefault="00E36E65" w:rsidP="00A56E8C">
                  <w:pPr>
                    <w:jc w:val="both"/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  <w:p w:rsidR="00E36E65" w:rsidRDefault="00E36E65" w:rsidP="00A56E8C">
                  <w:pPr>
                    <w:jc w:val="both"/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Представник департаменту 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інфраструктури міста Сумс</w:t>
                  </w:r>
                  <w: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ької міської ради  відповідальний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за надання адміністративної послуги – </w:t>
                  </w:r>
                  <w: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Рубінін О. В.</w:t>
                  </w:r>
                </w:p>
                <w:p w:rsidR="00E36E65" w:rsidRPr="000920DE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вул. Воскресенська, 8А/1, т. 70-05-97. електронна адреса:</w:t>
                  </w:r>
                  <w:r w:rsidRPr="007B399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AF4179">
                    <w:rPr>
                      <w:bCs/>
                      <w:lang w:val="ru-RU"/>
                    </w:rPr>
                    <w:t xml:space="preserve"> </w:t>
                  </w:r>
                  <w:r w:rsidRPr="00504224"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  <w:t>uim</w:t>
                  </w:r>
                  <w:r w:rsidRPr="007B3998">
                    <w:rPr>
                      <w:rFonts w:ascii="Verdana" w:hAnsi="Verdana"/>
                      <w:sz w:val="16"/>
                      <w:szCs w:val="16"/>
                    </w:rPr>
                    <w:t>@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meria</w:t>
                  </w:r>
                  <w:r w:rsidRPr="007B3998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sumy</w:t>
                  </w:r>
                  <w:r w:rsidRPr="007B3998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ua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E36E65" w:rsidRDefault="00E36E65" w:rsidP="00A56E8C">
                  <w:pPr>
                    <w:jc w:val="both"/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  <w:p w:rsidR="00E36E65" w:rsidRPr="00461A90" w:rsidRDefault="00E36E65" w:rsidP="00A56E8C">
                  <w:pPr>
                    <w:jc w:val="both"/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Графік роботи в приміщенні  управління «Центр надання адміністративних послуг у м.</w:t>
                  </w:r>
                  <w: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Суми» Сумської міської ради: </w:t>
                  </w:r>
                </w:p>
                <w:p w:rsidR="00E36E65" w:rsidRPr="001527B2" w:rsidRDefault="00E36E65" w:rsidP="00A56E8C">
                  <w:pPr>
                    <w:rPr>
                      <w:rFonts w:ascii="Verdana" w:hAnsi="Verdana" w:cs="Times New Roman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iCs/>
                      <w:sz w:val="16"/>
                      <w:szCs w:val="16"/>
                    </w:rPr>
                    <w:t>в</w:t>
                  </w:r>
                  <w:r w:rsidRPr="001527B2">
                    <w:rPr>
                      <w:rFonts w:ascii="Verdana" w:hAnsi="Verdana" w:cs="Times New Roman"/>
                      <w:iCs/>
                      <w:sz w:val="16"/>
                      <w:szCs w:val="16"/>
                    </w:rPr>
                    <w:t>івторок</w:t>
                  </w:r>
                  <w:r>
                    <w:rPr>
                      <w:rFonts w:ascii="Verdana" w:hAnsi="Verdana" w:cs="Times New Roman"/>
                      <w:iCs/>
                      <w:sz w:val="16"/>
                      <w:szCs w:val="16"/>
                    </w:rPr>
                    <w:t xml:space="preserve"> з  </w:t>
                  </w:r>
                  <w:r w:rsidRPr="001527B2">
                    <w:rPr>
                      <w:rFonts w:ascii="Verdana" w:hAnsi="Verdana" w:cs="Times New Roman"/>
                      <w:iCs/>
                      <w:sz w:val="16"/>
                      <w:szCs w:val="16"/>
                    </w:rPr>
                    <w:t xml:space="preserve">9.00 - 15.00;  </w:t>
                  </w:r>
                </w:p>
                <w:p w:rsidR="00E36E65" w:rsidRPr="005B6870" w:rsidRDefault="00E36E65" w:rsidP="00A56E8C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iCs/>
                      <w:sz w:val="16"/>
                      <w:szCs w:val="16"/>
                    </w:rPr>
                    <w:t>ч</w:t>
                  </w:r>
                  <w:r w:rsidRPr="001527B2">
                    <w:rPr>
                      <w:rFonts w:ascii="Verdana" w:hAnsi="Verdana" w:cs="Times New Roman"/>
                      <w:iCs/>
                      <w:sz w:val="16"/>
                      <w:szCs w:val="16"/>
                    </w:rPr>
                    <w:t>етвер</w:t>
                  </w:r>
                  <w:r>
                    <w:rPr>
                      <w:rFonts w:ascii="Verdana" w:hAnsi="Verdana" w:cs="Times New Roman"/>
                      <w:iCs/>
                      <w:sz w:val="16"/>
                      <w:szCs w:val="16"/>
                    </w:rPr>
                    <w:t xml:space="preserve"> </w:t>
                  </w:r>
                  <w:r w:rsidRPr="001527B2">
                    <w:rPr>
                      <w:rFonts w:ascii="Verdana" w:hAnsi="Verdana" w:cs="Times New Roman"/>
                      <w:iCs/>
                      <w:sz w:val="16"/>
                      <w:szCs w:val="16"/>
                    </w:rPr>
                    <w:t>9.00 - 12.00</w:t>
                  </w:r>
                  <w:r>
                    <w:rPr>
                      <w:rFonts w:ascii="Verdana" w:hAnsi="Verdana" w:cs="Times New Roman"/>
                      <w:iCs/>
                      <w:sz w:val="16"/>
                      <w:szCs w:val="16"/>
                    </w:rPr>
                    <w:t>.</w:t>
                  </w:r>
                  <w:r w:rsidRPr="001527B2">
                    <w:rPr>
                      <w:rFonts w:ascii="Verdana" w:hAnsi="Verdana" w:cs="Times New Roman"/>
                      <w:iCs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3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Телефон/факс (довідки), адреса електронної пошти та веб-сайт центру надання адміністративної послуги</w:t>
                  </w:r>
                </w:p>
              </w:tc>
              <w:tc>
                <w:tcPr>
                  <w:tcW w:w="5353" w:type="dxa"/>
                </w:tcPr>
                <w:p w:rsidR="00E36E65" w:rsidRPr="00461A90" w:rsidRDefault="00E36E65" w:rsidP="00A56E8C">
                  <w:pP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м.</w:t>
                  </w:r>
                  <w: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Суми, вул.</w:t>
                  </w:r>
                  <w: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 xml:space="preserve"> Горького, 21</w:t>
                  </w:r>
                </w:p>
                <w:p w:rsidR="00E36E65" w:rsidRPr="00461A90" w:rsidRDefault="00E36E65" w:rsidP="00A56E8C">
                  <w:pP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eastAsia="ru-RU"/>
                    </w:rPr>
                    <w:t>1 поверх, тел. 700-575</w:t>
                  </w:r>
                </w:p>
                <w:p w:rsidR="00E36E65" w:rsidRDefault="00E36E65" w:rsidP="003B2CF0">
                  <w:pP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val="en-US" w:eastAsia="ru-RU"/>
                    </w:rPr>
                  </w:pPr>
                  <w:r w:rsidRPr="00461A90"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val="en-US" w:eastAsia="ru-RU"/>
                    </w:rPr>
                    <w:t xml:space="preserve">e-mail:  </w:t>
                  </w:r>
                  <w:hyperlink r:id="rId5" w:history="1">
                    <w:r w:rsidR="003B2CF0" w:rsidRPr="00401900">
                      <w:rPr>
                        <w:rStyle w:val="a4"/>
                        <w:rFonts w:ascii="Verdana" w:hAnsi="Verdana" w:cs="Times New Roman"/>
                        <w:sz w:val="16"/>
                        <w:szCs w:val="16"/>
                        <w:lang w:val="en-US" w:eastAsia="ru-RU"/>
                      </w:rPr>
                      <w:t>cnap@smr.gov.ua</w:t>
                    </w:r>
                  </w:hyperlink>
                </w:p>
                <w:p w:rsidR="003B2CF0" w:rsidRPr="00461A90" w:rsidRDefault="003B2CF0" w:rsidP="003B2CF0">
                  <w:pP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Verdana" w:hAnsi="Verdana" w:cs="Times New Roman"/>
                      <w:color w:val="auto"/>
                      <w:sz w:val="16"/>
                      <w:szCs w:val="16"/>
                      <w:lang w:val="en-US" w:eastAsia="ru-RU"/>
                    </w:rPr>
                    <w:t>http://cnap.gov.ua</w:t>
                  </w:r>
                  <w:bookmarkStart w:id="0" w:name="_GoBack"/>
                  <w:bookmarkEnd w:id="0"/>
                </w:p>
              </w:tc>
            </w:tr>
            <w:tr w:rsidR="00E36E65" w:rsidRPr="005B6870" w:rsidTr="00A56E8C">
              <w:trPr>
                <w:trHeight w:val="455"/>
              </w:trPr>
              <w:tc>
                <w:tcPr>
                  <w:tcW w:w="9628" w:type="dxa"/>
                  <w:gridSpan w:val="3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4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Закони України</w:t>
                  </w:r>
                </w:p>
              </w:tc>
              <w:tc>
                <w:tcPr>
                  <w:tcW w:w="5353" w:type="dxa"/>
                </w:tcPr>
                <w:p w:rsidR="00E36E65" w:rsidRPr="005B6870" w:rsidRDefault="00E36E65" w:rsidP="00A56E8C">
                  <w:pPr>
                    <w:ind w:firstLine="17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4210E8">
                    <w:rPr>
                      <w:rFonts w:ascii="Verdana" w:hAnsi="Verdana" w:cs="Times New Roman"/>
                      <w:sz w:val="16"/>
                      <w:szCs w:val="16"/>
                    </w:rPr>
                    <w:t>Закон України «Про благоустрій населених пунктів», ст. 28</w:t>
                  </w:r>
                  <w:r w:rsidRPr="00C02BDC">
                    <w:rPr>
                      <w:rFonts w:ascii="Times New Roman" w:hAnsi="Times New Roman" w:cs="Times New Roman"/>
                      <w:b/>
                    </w:rPr>
                    <w:t xml:space="preserve">                  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5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Акти Кабінету Міністрів України</w:t>
                  </w:r>
                </w:p>
              </w:tc>
              <w:tc>
                <w:tcPr>
                  <w:tcW w:w="5353" w:type="dxa"/>
                </w:tcPr>
                <w:p w:rsidR="00E36E65" w:rsidRPr="001F3057" w:rsidRDefault="00E36E65" w:rsidP="00A56E8C">
                  <w:pPr>
                    <w:ind w:firstLine="17"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1F3057">
                    <w:rPr>
                      <w:rFonts w:ascii="Verdana" w:hAnsi="Verdana" w:cs="Times New Roman"/>
                      <w:sz w:val="16"/>
                      <w:szCs w:val="16"/>
                    </w:rPr>
                    <w:t>Постанова Кабінету Міністрів України від 01 серпня 2006 року  № 1045 “Про затвердження Порядку видалення дерев, кущів, газонів і квітників у населених пунктах”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6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353" w:type="dxa"/>
                </w:tcPr>
                <w:p w:rsidR="00E36E65" w:rsidRPr="005B6870" w:rsidRDefault="00E36E65" w:rsidP="00A56E8C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353" w:type="dxa"/>
                </w:tcPr>
                <w:p w:rsidR="00E36E65" w:rsidRPr="00825480" w:rsidRDefault="00E36E65" w:rsidP="00A56E8C">
                  <w:pPr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825480">
                    <w:rPr>
                      <w:rFonts w:ascii="Verdana" w:hAnsi="Verdana" w:cs="Times New Roman"/>
                      <w:sz w:val="16"/>
                      <w:szCs w:val="16"/>
                    </w:rPr>
                    <w:t>Рішення виконавчого комітету Сумської міської ради від 27.03.07. №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825480">
                    <w:rPr>
                      <w:rFonts w:ascii="Verdana" w:hAnsi="Verdana" w:cs="Times New Roman"/>
                      <w:sz w:val="16"/>
                      <w:szCs w:val="16"/>
                    </w:rPr>
                    <w:t>152 ,,Про затвердження форми Акту обстеження зелених насаджень, що підлягають видаленню, Ордеру на видалення зелених насаджень у м. Суми”.</w:t>
                  </w:r>
                </w:p>
              </w:tc>
            </w:tr>
            <w:tr w:rsidR="00E36E65" w:rsidRPr="005B6870" w:rsidTr="00A56E8C">
              <w:trPr>
                <w:trHeight w:val="476"/>
              </w:trPr>
              <w:tc>
                <w:tcPr>
                  <w:tcW w:w="9628" w:type="dxa"/>
                  <w:gridSpan w:val="3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Умови отримання адміністративної послуги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8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353" w:type="dxa"/>
                </w:tcPr>
                <w:p w:rsidR="00E36E65" w:rsidRPr="00D921E7" w:rsidRDefault="00E36E65" w:rsidP="00A56E8C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D921E7">
                    <w:rPr>
                      <w:rFonts w:ascii="Verdana" w:hAnsi="Verdana" w:cs="Times New Roman"/>
                      <w:sz w:val="16"/>
                      <w:szCs w:val="16"/>
                    </w:rPr>
                    <w:t>Об’єктивна необхідність в обстеженні або видаленні зелених насаджень.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9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353" w:type="dxa"/>
                </w:tcPr>
                <w:p w:rsidR="00E36E65" w:rsidRPr="008D348C" w:rsidRDefault="00E36E65" w:rsidP="00A56E8C">
                  <w:pPr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8D348C">
                    <w:rPr>
                      <w:rFonts w:ascii="Verdana" w:hAnsi="Verdana" w:cs="Times New Roman"/>
                      <w:sz w:val="16"/>
                      <w:szCs w:val="16"/>
                    </w:rPr>
                    <w:t>1.Заява про надання адміністративної послуги та документ про сплату відновної вартості (у разі  її сплати);</w:t>
                  </w:r>
                </w:p>
                <w:p w:rsidR="00E36E65" w:rsidRPr="008D348C" w:rsidRDefault="00E36E65" w:rsidP="00A56E8C">
                  <w:pPr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8D348C">
                    <w:rPr>
                      <w:rFonts w:ascii="Verdana" w:hAnsi="Verdana" w:cs="Times New Roman"/>
                      <w:sz w:val="16"/>
                      <w:szCs w:val="16"/>
                    </w:rPr>
                    <w:t>2. Документи, що підтверджують право власності, оренди, користування земельною ділянкою (у разі необхідності);</w:t>
                  </w:r>
                </w:p>
                <w:p w:rsidR="00E36E65" w:rsidRPr="005B6870" w:rsidRDefault="00E36E65" w:rsidP="00A56E8C">
                  <w:pPr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8D348C">
                    <w:rPr>
                      <w:rFonts w:ascii="Verdana" w:hAnsi="Verdana" w:cs="Times New Roman"/>
                      <w:sz w:val="16"/>
                      <w:szCs w:val="16"/>
                    </w:rPr>
                    <w:t>3. Документи на право проведення будівельних, ремонтних та інших робіт          (у разі необхідності).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0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 xml:space="preserve">Порядок та спосіб подання </w:t>
                  </w: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документів, необхідних для отримання адміністративної послуги</w:t>
                  </w:r>
                </w:p>
              </w:tc>
              <w:tc>
                <w:tcPr>
                  <w:tcW w:w="5353" w:type="dxa"/>
                </w:tcPr>
                <w:p w:rsidR="00E36E65" w:rsidRPr="007F02DA" w:rsidRDefault="00E36E65" w:rsidP="00A56E8C">
                  <w:pPr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7F02DA">
                    <w:rPr>
                      <w:rFonts w:ascii="Verdana" w:hAnsi="Verdana" w:cs="Times New Roman"/>
                      <w:sz w:val="16"/>
                      <w:szCs w:val="16"/>
                    </w:rPr>
                    <w:lastRenderedPageBreak/>
                    <w:t xml:space="preserve">Документи на проведення обстеження та видалення зелених </w:t>
                  </w:r>
                  <w:r w:rsidRPr="007F02DA">
                    <w:rPr>
                      <w:rFonts w:ascii="Verdana" w:hAnsi="Verdana" w:cs="Times New Roman"/>
                      <w:sz w:val="16"/>
                      <w:szCs w:val="16"/>
                    </w:rPr>
                    <w:lastRenderedPageBreak/>
                    <w:t>насаджень подаються юридичними та фізичними  особами особисто або через своїх представників.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lastRenderedPageBreak/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353" w:type="dxa"/>
                </w:tcPr>
                <w:p w:rsidR="00E36E65" w:rsidRPr="000A3614" w:rsidRDefault="00E36E65" w:rsidP="00A56E8C">
                  <w:pPr>
                    <w:ind w:firstLine="1"/>
                    <w:rPr>
                      <w:rFonts w:ascii="Verdana" w:hAnsi="Verdana"/>
                      <w:sz w:val="16"/>
                      <w:szCs w:val="16"/>
                    </w:rPr>
                  </w:pPr>
                  <w:r w:rsidRPr="000A3614">
                    <w:rPr>
                      <w:rFonts w:ascii="Verdana" w:hAnsi="Verdana"/>
                      <w:sz w:val="16"/>
                      <w:szCs w:val="16"/>
                    </w:rPr>
                    <w:t>Безоплатно</w:t>
                  </w:r>
                </w:p>
              </w:tc>
            </w:tr>
            <w:tr w:rsidR="00E36E65" w:rsidRPr="005B6870" w:rsidTr="00A56E8C">
              <w:trPr>
                <w:trHeight w:val="383"/>
              </w:trPr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80" w:type="dxa"/>
                  <w:gridSpan w:val="2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i/>
                      <w:sz w:val="16"/>
                      <w:szCs w:val="16"/>
                    </w:rPr>
                    <w:t>У разі платності</w:t>
                  </w: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.1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353" w:type="dxa"/>
                </w:tcPr>
                <w:p w:rsidR="00E36E65" w:rsidRPr="0051595E" w:rsidRDefault="00E36E65" w:rsidP="00A56E8C">
                  <w:pPr>
                    <w:ind w:firstLine="567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.2.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353" w:type="dxa"/>
                </w:tcPr>
                <w:p w:rsidR="00E36E65" w:rsidRPr="0051595E" w:rsidRDefault="00E36E65" w:rsidP="00A56E8C">
                  <w:pPr>
                    <w:ind w:firstLine="567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.3.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Розрахунковий рахунок для внесення плати</w:t>
                  </w:r>
                </w:p>
              </w:tc>
              <w:tc>
                <w:tcPr>
                  <w:tcW w:w="5353" w:type="dxa"/>
                </w:tcPr>
                <w:p w:rsidR="00E36E65" w:rsidRPr="0051595E" w:rsidRDefault="00E36E65" w:rsidP="00A56E8C">
                  <w:pPr>
                    <w:ind w:firstLine="567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-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2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353" w:type="dxa"/>
                </w:tcPr>
                <w:p w:rsidR="00E36E65" w:rsidRPr="007F02DA" w:rsidRDefault="00E36E65" w:rsidP="00A56E8C">
                  <w:pPr>
                    <w:ind w:firstLine="1"/>
                    <w:rPr>
                      <w:rFonts w:ascii="Verdana" w:hAnsi="Verdana"/>
                      <w:sz w:val="16"/>
                      <w:szCs w:val="16"/>
                    </w:rPr>
                  </w:pPr>
                  <w:r w:rsidRPr="007F02DA">
                    <w:rPr>
                      <w:rFonts w:ascii="Verdana" w:hAnsi="Verdana" w:cs="Times New Roman"/>
                      <w:sz w:val="16"/>
                      <w:szCs w:val="16"/>
                    </w:rPr>
                    <w:t>Протягом 1 – го місяця.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3</w:t>
                  </w: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353" w:type="dxa"/>
                </w:tcPr>
                <w:p w:rsidR="00E36E65" w:rsidRPr="007F02DA" w:rsidRDefault="00E36E65" w:rsidP="00A56E8C">
                  <w:pPr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7F02DA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Відсутність об’єктивних причин для видалення  зелених                      </w:t>
                  </w:r>
                </w:p>
                <w:p w:rsidR="00E36E65" w:rsidRPr="007F02DA" w:rsidRDefault="00E36E65" w:rsidP="00A56E8C">
                  <w:pPr>
                    <w:ind w:firstLine="1"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7F02DA">
                    <w:rPr>
                      <w:rFonts w:ascii="Verdana" w:hAnsi="Verdana" w:cs="Times New Roman"/>
                      <w:sz w:val="16"/>
                      <w:szCs w:val="16"/>
                    </w:rPr>
                    <w:t>насаджень</w:t>
                  </w:r>
                </w:p>
              </w:tc>
            </w:tr>
            <w:tr w:rsidR="00E36E65" w:rsidRPr="005B6870" w:rsidTr="00A56E8C"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353" w:type="dxa"/>
                </w:tcPr>
                <w:p w:rsidR="00E36E65" w:rsidRPr="007F02DA" w:rsidRDefault="00E36E65" w:rsidP="00A56E8C">
                  <w:pPr>
                    <w:ind w:firstLine="1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7F02DA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«Акт обстеження зелених насаджень, які підлягають видаленню» або «Ордер на видалення  зелених насаджень»  </w:t>
                  </w:r>
                </w:p>
              </w:tc>
            </w:tr>
            <w:tr w:rsidR="00E36E65" w:rsidRPr="005B6870" w:rsidTr="00A56E8C">
              <w:trPr>
                <w:trHeight w:val="70"/>
              </w:trPr>
              <w:tc>
                <w:tcPr>
                  <w:tcW w:w="1248" w:type="dxa"/>
                </w:tcPr>
                <w:p w:rsidR="00E36E65" w:rsidRPr="005B6870" w:rsidRDefault="00E36E65" w:rsidP="00A56E8C">
                  <w:pPr>
                    <w:ind w:firstLine="56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b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3027" w:type="dxa"/>
                </w:tcPr>
                <w:p w:rsidR="00E36E65" w:rsidRPr="005B6870" w:rsidRDefault="00E36E65" w:rsidP="00A56E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870">
                    <w:rPr>
                      <w:rFonts w:ascii="Verdana" w:hAnsi="Verdana"/>
                      <w:sz w:val="16"/>
                      <w:szCs w:val="16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353" w:type="dxa"/>
                </w:tcPr>
                <w:p w:rsidR="00E36E65" w:rsidRPr="00AC29D1" w:rsidRDefault="00E36E65" w:rsidP="00A56E8C">
                  <w:pPr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AC29D1">
                    <w:rPr>
                      <w:rFonts w:ascii="Verdana" w:hAnsi="Verdana" w:cs="Times New Roman"/>
                      <w:sz w:val="16"/>
                      <w:szCs w:val="16"/>
                    </w:rPr>
                    <w:t>Після  реєстрації,  «А</w:t>
                  </w:r>
                  <w:r w:rsidRPr="00AC29D1">
                    <w:rPr>
                      <w:rFonts w:ascii="Verdana" w:hAnsi="Verdana" w:cs="Times New Roman"/>
                      <w:bCs/>
                      <w:sz w:val="16"/>
                      <w:szCs w:val="16"/>
                    </w:rPr>
                    <w:t>кт обстеження зелених насаджень, які підлягають видаленню» чи «Ордер на видалення зелених насаджень», юридичними та фізичними особами або їх представниками отримуються особисто і за підписом на документах та у відповідних журналах.</w:t>
                  </w:r>
                </w:p>
              </w:tc>
            </w:tr>
          </w:tbl>
          <w:p w:rsidR="00E36E65" w:rsidRPr="005B6870" w:rsidRDefault="00E36E65" w:rsidP="00A56E8C">
            <w:pPr>
              <w:ind w:firstLine="567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D7CA6" w:rsidRDefault="00CD7CA6"/>
    <w:sectPr w:rsidR="00CD7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59"/>
    <w:rsid w:val="00234F59"/>
    <w:rsid w:val="003B2CF0"/>
    <w:rsid w:val="00CD7CA6"/>
    <w:rsid w:val="00E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6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2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6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2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Павел</cp:lastModifiedBy>
  <cp:revision>2</cp:revision>
  <dcterms:created xsi:type="dcterms:W3CDTF">2016-12-26T09:43:00Z</dcterms:created>
  <dcterms:modified xsi:type="dcterms:W3CDTF">2016-12-26T09:43:00Z</dcterms:modified>
</cp:coreProperties>
</file>