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</w:tblGrid>
      <w:tr w:rsidR="00A170B5" w:rsidRPr="007017C9" w14:paraId="02D9E706" w14:textId="77777777" w:rsidTr="00A62689">
        <w:trPr>
          <w:trHeight w:val="2855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XSpec="right" w:tblpY="595"/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A62689" w:rsidRPr="007017C9" w14:paraId="0B516A52" w14:textId="77777777" w:rsidTr="004B3A10">
              <w:trPr>
                <w:trHeight w:val="285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67F2D" w14:textId="77777777" w:rsidR="0040452E" w:rsidRPr="00F01C1D" w:rsidRDefault="0040452E" w:rsidP="0040452E">
                  <w:pPr>
                    <w:rPr>
                      <w:b/>
                      <w:lang w:val="uk-UA"/>
                    </w:rPr>
                  </w:pPr>
                  <w:r w:rsidRPr="00F01C1D">
                    <w:rPr>
                      <w:b/>
                      <w:lang w:val="uk-UA"/>
                    </w:rPr>
                    <w:t>ЗАТВЕРДЖУЮ</w:t>
                  </w:r>
                </w:p>
                <w:p w14:paraId="37E9A3F6" w14:textId="77777777" w:rsidR="0040452E" w:rsidRPr="00F01C1D" w:rsidRDefault="0040452E" w:rsidP="0040452E">
                  <w:pPr>
                    <w:jc w:val="center"/>
                    <w:rPr>
                      <w:b/>
                      <w:lang w:val="uk-UA"/>
                    </w:rPr>
                  </w:pPr>
                </w:p>
                <w:p w14:paraId="1943DA34" w14:textId="77777777" w:rsidR="0040452E" w:rsidRPr="00F01C1D" w:rsidRDefault="0040452E" w:rsidP="0040452E">
                  <w:pPr>
                    <w:jc w:val="both"/>
                    <w:rPr>
                      <w:b/>
                      <w:lang w:val="uk-UA"/>
                    </w:rPr>
                  </w:pPr>
                  <w:r w:rsidRPr="00F01C1D">
                    <w:rPr>
                      <w:b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14:paraId="5B16BB74" w14:textId="77777777" w:rsidR="0040452E" w:rsidRPr="00FA51ED" w:rsidRDefault="0040452E" w:rsidP="0040452E">
                  <w:pPr>
                    <w:rPr>
                      <w:b/>
                      <w:sz w:val="36"/>
                      <w:szCs w:val="36"/>
                      <w:lang w:val="uk-UA"/>
                    </w:rPr>
                  </w:pPr>
                  <w:r w:rsidRPr="007B2A69">
                    <w:rPr>
                      <w:b/>
                      <w:lang w:val="uk-UA"/>
                    </w:rPr>
                    <w:t xml:space="preserve"> </w:t>
                  </w:r>
                </w:p>
                <w:p w14:paraId="122244AF" w14:textId="77777777" w:rsidR="0040452E" w:rsidRPr="007B2A69" w:rsidRDefault="0040452E" w:rsidP="0040452E">
                  <w:pPr>
                    <w:rPr>
                      <w:b/>
                      <w:bCs/>
                    </w:rPr>
                  </w:pPr>
                  <w:r w:rsidRPr="007B2A69">
                    <w:rPr>
                      <w:b/>
                      <w:lang w:val="uk-UA"/>
                    </w:rPr>
                    <w:t xml:space="preserve">___________________ </w:t>
                  </w:r>
                  <w:r w:rsidRPr="00FA753A">
                    <w:rPr>
                      <w:b/>
                      <w:lang w:val="uk-UA"/>
                    </w:rPr>
                    <w:t>Римма БИКОВА</w:t>
                  </w:r>
                </w:p>
                <w:p w14:paraId="47B1A47F" w14:textId="77777777" w:rsidR="0040452E" w:rsidRPr="00FA51ED" w:rsidRDefault="0040452E" w:rsidP="0040452E">
                  <w:pPr>
                    <w:rPr>
                      <w:sz w:val="36"/>
                      <w:szCs w:val="36"/>
                      <w:lang w:val="uk-UA"/>
                    </w:rPr>
                  </w:pPr>
                </w:p>
                <w:p w14:paraId="05007B73" w14:textId="77777777" w:rsidR="0040452E" w:rsidRPr="00F01C1D" w:rsidRDefault="0040452E" w:rsidP="0040452E">
                  <w:pPr>
                    <w:rPr>
                      <w:lang w:val="uk-UA"/>
                    </w:rPr>
                  </w:pPr>
                  <w:r w:rsidRPr="00F01C1D">
                    <w:t xml:space="preserve">   </w:t>
                  </w:r>
                  <w:r w:rsidRPr="00F01C1D">
                    <w:rPr>
                      <w:lang w:val="uk-UA"/>
                    </w:rPr>
                    <w:t xml:space="preserve">            МП</w:t>
                  </w:r>
                </w:p>
                <w:p w14:paraId="7E8CA00C" w14:textId="77777777" w:rsidR="0040452E" w:rsidRPr="00F01C1D" w:rsidRDefault="0040452E" w:rsidP="0040452E">
                  <w:pPr>
                    <w:rPr>
                      <w:lang w:val="uk-UA"/>
                    </w:rPr>
                  </w:pPr>
                  <w:r w:rsidRPr="00F01C1D">
                    <w:rPr>
                      <w:lang w:val="uk-UA"/>
                    </w:rPr>
                    <w:t>_____ _____ 2025</w:t>
                  </w:r>
                </w:p>
                <w:p w14:paraId="44E11E3A" w14:textId="77777777" w:rsidR="00A62689" w:rsidRPr="007017C9" w:rsidRDefault="00A62689" w:rsidP="00A6268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9C843B3" w14:textId="45798254" w:rsidR="00A170B5" w:rsidRPr="007017C9" w:rsidRDefault="00A170B5" w:rsidP="002A6C8D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C807F1B" w14:textId="77777777" w:rsidR="00CE526A" w:rsidRDefault="00CE526A" w:rsidP="00CE526A">
      <w:pPr>
        <w:jc w:val="center"/>
        <w:rPr>
          <w:b/>
          <w:lang w:val="uk-UA"/>
        </w:rPr>
      </w:pPr>
    </w:p>
    <w:p w14:paraId="68993C46" w14:textId="77777777" w:rsidR="00A170B5" w:rsidRDefault="00A170B5" w:rsidP="0040452E">
      <w:pPr>
        <w:rPr>
          <w:b/>
          <w:lang w:val="uk-UA"/>
        </w:rPr>
      </w:pPr>
    </w:p>
    <w:p w14:paraId="59AA37F3" w14:textId="77777777" w:rsidR="00A170B5" w:rsidRDefault="00A170B5" w:rsidP="00CE526A">
      <w:pPr>
        <w:jc w:val="center"/>
        <w:rPr>
          <w:b/>
          <w:lang w:val="uk-UA"/>
        </w:rPr>
      </w:pPr>
    </w:p>
    <w:p w14:paraId="72313C0B" w14:textId="77777777" w:rsidR="00A170B5" w:rsidRDefault="00A170B5" w:rsidP="00CE526A">
      <w:pPr>
        <w:jc w:val="center"/>
        <w:rPr>
          <w:b/>
          <w:lang w:val="uk-UA"/>
        </w:rPr>
      </w:pPr>
    </w:p>
    <w:p w14:paraId="65D958DF" w14:textId="77777777" w:rsidR="00A170B5" w:rsidRDefault="00A170B5" w:rsidP="00CE526A">
      <w:pPr>
        <w:jc w:val="center"/>
        <w:rPr>
          <w:b/>
          <w:lang w:val="uk-UA"/>
        </w:rPr>
      </w:pPr>
    </w:p>
    <w:p w14:paraId="5E334BFC" w14:textId="77777777" w:rsidR="00A170B5" w:rsidRDefault="00A170B5" w:rsidP="00CE526A">
      <w:pPr>
        <w:jc w:val="center"/>
        <w:rPr>
          <w:b/>
          <w:lang w:val="uk-UA"/>
        </w:rPr>
      </w:pPr>
    </w:p>
    <w:p w14:paraId="70F6EEBE" w14:textId="77777777" w:rsidR="00A170B5" w:rsidRDefault="00A170B5" w:rsidP="00CE526A">
      <w:pPr>
        <w:jc w:val="center"/>
        <w:rPr>
          <w:b/>
          <w:lang w:val="uk-UA"/>
        </w:rPr>
      </w:pPr>
    </w:p>
    <w:p w14:paraId="4C31D3F4" w14:textId="77777777" w:rsidR="00A170B5" w:rsidRDefault="00A170B5" w:rsidP="00CE526A">
      <w:pPr>
        <w:jc w:val="center"/>
        <w:rPr>
          <w:b/>
          <w:lang w:val="uk-UA"/>
        </w:rPr>
      </w:pPr>
    </w:p>
    <w:p w14:paraId="2E9D04E5" w14:textId="77777777" w:rsidR="00A170B5" w:rsidRDefault="00A170B5" w:rsidP="00CE526A">
      <w:pPr>
        <w:jc w:val="center"/>
        <w:rPr>
          <w:b/>
          <w:lang w:val="uk-UA"/>
        </w:rPr>
      </w:pPr>
    </w:p>
    <w:p w14:paraId="58D18315" w14:textId="77777777" w:rsidR="00A170B5" w:rsidRDefault="00A170B5" w:rsidP="00CE526A">
      <w:pPr>
        <w:jc w:val="center"/>
        <w:rPr>
          <w:b/>
          <w:lang w:val="uk-UA"/>
        </w:rPr>
      </w:pPr>
    </w:p>
    <w:p w14:paraId="789E97D0" w14:textId="77777777" w:rsidR="00A170B5" w:rsidRDefault="00A170B5" w:rsidP="00CE526A">
      <w:pPr>
        <w:jc w:val="center"/>
        <w:rPr>
          <w:b/>
          <w:lang w:val="uk-UA"/>
        </w:rPr>
      </w:pPr>
    </w:p>
    <w:p w14:paraId="773308EF" w14:textId="77777777" w:rsidR="006D3316" w:rsidRDefault="006D3316" w:rsidP="00CE526A">
      <w:pPr>
        <w:jc w:val="center"/>
        <w:rPr>
          <w:b/>
          <w:sz w:val="28"/>
          <w:szCs w:val="28"/>
          <w:lang w:val="uk-UA"/>
        </w:rPr>
      </w:pPr>
    </w:p>
    <w:p w14:paraId="23B511F8" w14:textId="77777777" w:rsidR="001C1FA1" w:rsidRDefault="001C1FA1" w:rsidP="00CE526A">
      <w:pPr>
        <w:jc w:val="center"/>
        <w:rPr>
          <w:b/>
          <w:sz w:val="28"/>
          <w:szCs w:val="28"/>
          <w:lang w:val="uk-UA"/>
        </w:rPr>
      </w:pPr>
    </w:p>
    <w:p w14:paraId="4A2CA48B" w14:textId="77777777" w:rsidR="001C1FA1" w:rsidRDefault="001C1FA1" w:rsidP="00CE526A">
      <w:pPr>
        <w:jc w:val="center"/>
        <w:rPr>
          <w:b/>
          <w:sz w:val="28"/>
          <w:szCs w:val="28"/>
          <w:lang w:val="uk-UA"/>
        </w:rPr>
      </w:pPr>
    </w:p>
    <w:p w14:paraId="7BEABB1F" w14:textId="747F13EF" w:rsidR="00CE526A" w:rsidRPr="00852BF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 xml:space="preserve">ІНФОРМАЦІЙНА КАРТКА </w:t>
      </w:r>
    </w:p>
    <w:p w14:paraId="77198FAA" w14:textId="77777777" w:rsidR="00CE526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АДМІНІСТРАТИВНОЇ ПОСЛУГИ</w:t>
      </w:r>
    </w:p>
    <w:p w14:paraId="2AA97341" w14:textId="77777777"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41B76040" w14:textId="77777777" w:rsidR="00CE526A" w:rsidRPr="00591311" w:rsidRDefault="00B438AB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ОФОРМЛЕННЯ</w:t>
      </w:r>
      <w:r w:rsidR="00D60D54">
        <w:rPr>
          <w:b/>
          <w:sz w:val="28"/>
          <w:szCs w:val="28"/>
          <w:lang w:val="uk-UA"/>
        </w:rPr>
        <w:t xml:space="preserve"> ПАСПОРТ</w:t>
      </w:r>
      <w:r>
        <w:rPr>
          <w:b/>
          <w:sz w:val="28"/>
          <w:szCs w:val="28"/>
          <w:lang w:val="uk-UA"/>
        </w:rPr>
        <w:t>А</w:t>
      </w:r>
      <w:r w:rsidR="00D60D54">
        <w:rPr>
          <w:b/>
          <w:sz w:val="28"/>
          <w:szCs w:val="28"/>
          <w:lang w:val="uk-UA"/>
        </w:rPr>
        <w:t xml:space="preserve"> ПРИВ’ЯЗКИ ТИМЧАСОВОЇ СПОРУДИ</w:t>
      </w:r>
      <w:r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32F456B6" w14:textId="77777777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14:paraId="62AF4753" w14:textId="77777777" w:rsidR="00CE526A" w:rsidRDefault="00CE526A" w:rsidP="00CE526A">
      <w:pPr>
        <w:jc w:val="center"/>
        <w:rPr>
          <w:lang w:val="uk-UA"/>
        </w:rPr>
      </w:pPr>
    </w:p>
    <w:p w14:paraId="7419C00C" w14:textId="77777777" w:rsidR="00073DB9" w:rsidRPr="00F1286A" w:rsidRDefault="00073DB9" w:rsidP="00073DB9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 w:rsidRPr="00F1286A">
        <w:rPr>
          <w:b/>
          <w:sz w:val="28"/>
          <w:szCs w:val="28"/>
          <w:lang w:val="uk-UA"/>
        </w:rPr>
        <w:t xml:space="preserve">УПРАВЛІННЯ АРХІТЕКТУРИ, МІСТОБУДУВАННЯ ТА ОХОРОНИ КУЛЬТУРНОЇ СПАДЩИНИ ГРОМАДИ </w:t>
      </w:r>
      <w:r w:rsidRPr="00F1286A">
        <w:rPr>
          <w:b/>
          <w:bCs/>
          <w:sz w:val="28"/>
          <w:szCs w:val="28"/>
          <w:lang w:val="uk-UA"/>
        </w:rPr>
        <w:t>СУМСЬКОЇ МІСЬКОЇ РАДИ</w:t>
      </w:r>
    </w:p>
    <w:p w14:paraId="4DE9DC39" w14:textId="1AE97004" w:rsidR="00CE526A" w:rsidRPr="007F0A0C" w:rsidRDefault="00073DB9" w:rsidP="00073DB9">
      <w:pPr>
        <w:jc w:val="center"/>
        <w:rPr>
          <w:lang w:val="uk-UA"/>
        </w:rPr>
      </w:pPr>
      <w:r w:rsidRPr="007F0A0C">
        <w:rPr>
          <w:lang w:val="uk-UA"/>
        </w:rPr>
        <w:t xml:space="preserve"> </w:t>
      </w:r>
      <w:r w:rsidR="00CE526A" w:rsidRPr="007F0A0C">
        <w:rPr>
          <w:lang w:val="uk-UA"/>
        </w:rPr>
        <w:t>(найменування суб’єкта надання адміністративної послуги)</w:t>
      </w:r>
    </w:p>
    <w:p w14:paraId="1FB26527" w14:textId="77777777" w:rsidR="007F0A0C" w:rsidRPr="00B15A3A" w:rsidRDefault="007F0A0C" w:rsidP="0036352F">
      <w:pPr>
        <w:pStyle w:val="21"/>
        <w:ind w:firstLine="0"/>
        <w:jc w:val="center"/>
        <w:rPr>
          <w:b/>
          <w:bCs/>
          <w:sz w:val="24"/>
        </w:rPr>
      </w:pPr>
    </w:p>
    <w:tbl>
      <w:tblPr>
        <w:tblW w:w="963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0"/>
        <w:gridCol w:w="2834"/>
        <w:gridCol w:w="51"/>
        <w:gridCol w:w="6229"/>
      </w:tblGrid>
      <w:tr w:rsidR="00CE526A" w:rsidRPr="00B15A3A" w14:paraId="41F45618" w14:textId="77777777" w:rsidTr="00073DB9">
        <w:tc>
          <w:tcPr>
            <w:tcW w:w="3350" w:type="dxa"/>
            <w:gridSpan w:val="3"/>
          </w:tcPr>
          <w:p w14:paraId="19DF58F8" w14:textId="77777777" w:rsidR="007F0A0C" w:rsidRPr="00CA28D5" w:rsidRDefault="00CE526A" w:rsidP="0039648C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78" w:type="dxa"/>
            <w:gridSpan w:val="2"/>
          </w:tcPr>
          <w:p w14:paraId="2864E6BB" w14:textId="77777777" w:rsidR="00CE526A" w:rsidRPr="00CA28D5" w:rsidRDefault="00CE526A" w:rsidP="00CA28D5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у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A170B5" w:rsidRPr="00B15A3A" w14:paraId="369015B5" w14:textId="77777777" w:rsidTr="00073DB9">
        <w:tc>
          <w:tcPr>
            <w:tcW w:w="456" w:type="dxa"/>
          </w:tcPr>
          <w:p w14:paraId="5597BF78" w14:textId="77777777"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94" w:type="dxa"/>
            <w:gridSpan w:val="2"/>
          </w:tcPr>
          <w:p w14:paraId="399935E3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3746DBBE" w14:textId="77777777" w:rsidR="005B2132" w:rsidRPr="00A170B5" w:rsidRDefault="005B2132" w:rsidP="005B2132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</w:t>
            </w:r>
            <w:r>
              <w:rPr>
                <w:rStyle w:val="FontStyle26"/>
                <w:sz w:val="24"/>
                <w:szCs w:val="24"/>
                <w:lang w:val="uk-UA"/>
              </w:rPr>
              <w:t>Британська</w:t>
            </w:r>
            <w:r w:rsidRPr="00A170B5">
              <w:rPr>
                <w:rStyle w:val="FontStyle26"/>
                <w:sz w:val="24"/>
                <w:szCs w:val="24"/>
                <w:lang w:val="uk-UA"/>
              </w:rPr>
              <w:t>, 21, м. Суми</w:t>
            </w:r>
          </w:p>
          <w:p w14:paraId="4E42BEBE" w14:textId="77777777" w:rsidR="00A170B5" w:rsidRPr="00A170B5" w:rsidRDefault="00A170B5" w:rsidP="00A170B5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A170B5">
              <w:rPr>
                <w:rStyle w:val="FontStyle26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A170B5">
              <w:rPr>
                <w:rStyle w:val="FontStyle26"/>
                <w:sz w:val="24"/>
                <w:szCs w:val="24"/>
                <w:lang w:val="uk-UA"/>
              </w:rPr>
              <w:t>, 165/71, м. Суми</w:t>
            </w:r>
          </w:p>
          <w:p w14:paraId="719C66DF" w14:textId="77777777" w:rsidR="00A170B5" w:rsidRPr="00A170B5" w:rsidRDefault="00A170B5" w:rsidP="00A170B5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Романа </w:t>
            </w:r>
            <w:proofErr w:type="spellStart"/>
            <w:r w:rsidRPr="00A170B5">
              <w:rPr>
                <w:rStyle w:val="FontStyle26"/>
                <w:sz w:val="24"/>
                <w:szCs w:val="24"/>
                <w:lang w:val="uk-UA"/>
              </w:rPr>
              <w:t>Атаманюка</w:t>
            </w:r>
            <w:proofErr w:type="spellEnd"/>
            <w:r w:rsidRPr="00A170B5">
              <w:rPr>
                <w:rStyle w:val="FontStyle26"/>
                <w:sz w:val="24"/>
                <w:szCs w:val="24"/>
                <w:lang w:val="uk-UA"/>
              </w:rPr>
              <w:t>, 49А, м. Суми</w:t>
            </w:r>
          </w:p>
          <w:p w14:paraId="18236FC7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вул. Шкільна, 41а, с. Піщане, м. Суми</w:t>
            </w:r>
          </w:p>
          <w:p w14:paraId="2283D506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</w:p>
        </w:tc>
      </w:tr>
      <w:tr w:rsidR="00A170B5" w:rsidRPr="00073DB9" w14:paraId="13FFB281" w14:textId="77777777" w:rsidTr="00073DB9">
        <w:trPr>
          <w:trHeight w:val="1737"/>
        </w:trPr>
        <w:tc>
          <w:tcPr>
            <w:tcW w:w="456" w:type="dxa"/>
          </w:tcPr>
          <w:p w14:paraId="509D8204" w14:textId="77777777"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94" w:type="dxa"/>
            <w:gridSpan w:val="2"/>
          </w:tcPr>
          <w:p w14:paraId="4591B54F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14:paraId="01E57A16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5B893E0F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3B1EBBC4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2516116A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5AA6E6B9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4FEE3188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7FEEFE93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0EA95B3F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121E2D85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2AC5128C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6565466B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794B7499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5EC509D7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48176B7A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4582F027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4B43D0EC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03B2D5E4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7EC42B5F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46C0C769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6CAED032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09761231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</w:p>
          <w:p w14:paraId="74A46155" w14:textId="77777777" w:rsidR="00073DB9" w:rsidRDefault="00073DB9" w:rsidP="003E6E77">
            <w:pPr>
              <w:jc w:val="center"/>
              <w:rPr>
                <w:lang w:val="uk-UA"/>
              </w:rPr>
            </w:pPr>
          </w:p>
          <w:p w14:paraId="13C61928" w14:textId="77777777" w:rsidR="00073DB9" w:rsidRDefault="00073DB9" w:rsidP="003E6E77">
            <w:pPr>
              <w:jc w:val="center"/>
              <w:rPr>
                <w:lang w:val="uk-UA"/>
              </w:rPr>
            </w:pPr>
          </w:p>
          <w:p w14:paraId="11A49761" w14:textId="6136F0F0" w:rsidR="00A170B5" w:rsidRPr="007017C9" w:rsidRDefault="00A170B5" w:rsidP="003E6E77">
            <w:pPr>
              <w:jc w:val="center"/>
              <w:rPr>
                <w:bCs/>
              </w:rPr>
            </w:pPr>
            <w:r w:rsidRPr="007017C9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725012D7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14:paraId="04EFC190" w14:textId="4FF4A531" w:rsidR="00A170B5" w:rsidRPr="005B2132" w:rsidRDefault="00A170B5" w:rsidP="005B2132">
            <w:pPr>
              <w:jc w:val="center"/>
              <w:rPr>
                <w:color w:val="000000"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="005B2132" w:rsidRPr="005B2132">
              <w:rPr>
                <w:rStyle w:val="FontStyle26"/>
                <w:b/>
                <w:bCs/>
                <w:sz w:val="24"/>
                <w:szCs w:val="24"/>
                <w:lang w:val="uk-UA"/>
              </w:rPr>
              <w:t>вул. Британська, 21, м. Суми</w:t>
            </w:r>
            <w:r w:rsidRPr="00A170B5">
              <w:rPr>
                <w:b/>
                <w:lang w:val="uk-UA"/>
              </w:rPr>
              <w:t>):</w:t>
            </w:r>
          </w:p>
          <w:p w14:paraId="7CE163BC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6DBC2CDD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вівторок: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67120701" w14:textId="77777777" w:rsidR="00A170B5" w:rsidRPr="00A170B5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 xml:space="preserve"> середа: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39A3A0C8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четвер: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555BF651" w14:textId="77777777" w:rsidR="00A170B5" w:rsidRPr="00A170B5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 xml:space="preserve"> 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44055D37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субота: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-14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,</w:t>
            </w:r>
          </w:p>
          <w:p w14:paraId="1CD5CE04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proofErr w:type="spellStart"/>
            <w:r w:rsidRPr="00A170B5">
              <w:t>вихідний</w:t>
            </w:r>
            <w:proofErr w:type="spellEnd"/>
            <w:r w:rsidRPr="00A170B5">
              <w:t xml:space="preserve"> день – </w:t>
            </w:r>
            <w:proofErr w:type="spellStart"/>
            <w:r w:rsidRPr="00A170B5">
              <w:t>неділя</w:t>
            </w:r>
            <w:proofErr w:type="spellEnd"/>
            <w:r w:rsidRPr="00A170B5">
              <w:rPr>
                <w:lang w:val="uk-UA"/>
              </w:rPr>
              <w:t>.</w:t>
            </w:r>
          </w:p>
          <w:p w14:paraId="514D2A6C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 xml:space="preserve">Територіальний підрозділ </w:t>
            </w:r>
          </w:p>
          <w:p w14:paraId="18614934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Кондратьєва</w:t>
            </w:r>
            <w:proofErr w:type="spellEnd"/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, 165/71, м. Суми</w:t>
            </w:r>
            <w:r w:rsidRPr="00A170B5">
              <w:rPr>
                <w:b/>
                <w:lang w:val="uk-UA"/>
              </w:rPr>
              <w:t>):</w:t>
            </w:r>
          </w:p>
          <w:p w14:paraId="67420CCE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6BF22E86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44EFB5E7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3B22360F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вихідні дні – субота - неділя.</w:t>
            </w:r>
          </w:p>
          <w:p w14:paraId="2A80C0CE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 xml:space="preserve">Територіальний підрозділ </w:t>
            </w:r>
          </w:p>
          <w:p w14:paraId="28717322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 xml:space="preserve">(вул. Романа </w:t>
            </w:r>
            <w:proofErr w:type="spellStart"/>
            <w:r w:rsidRPr="00A170B5">
              <w:rPr>
                <w:b/>
                <w:lang w:val="uk-UA"/>
              </w:rPr>
              <w:t>Атаманюка</w:t>
            </w:r>
            <w:proofErr w:type="spellEnd"/>
            <w:r w:rsidRPr="00A170B5">
              <w:rPr>
                <w:b/>
                <w:lang w:val="uk-UA"/>
              </w:rPr>
              <w:t>, 49А, м. Суми):</w:t>
            </w:r>
          </w:p>
          <w:p w14:paraId="235AA017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66BC69CB" w14:textId="77777777" w:rsidR="00A170B5" w:rsidRPr="00A170B5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 xml:space="preserve"> 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65338FF9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lastRenderedPageBreak/>
              <w:t xml:space="preserve"> 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06272DA2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вихідні дні – субота - неділя.</w:t>
            </w:r>
          </w:p>
          <w:p w14:paraId="280E6217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 xml:space="preserve">Територіальний підрозділ </w:t>
            </w:r>
          </w:p>
          <w:p w14:paraId="4AD5D5B6" w14:textId="77777777" w:rsidR="00A170B5" w:rsidRPr="00A170B5" w:rsidRDefault="00A170B5" w:rsidP="00A170B5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вул. Шкільна, 41а, с. Піщане, м. Суми</w:t>
            </w:r>
            <w:r w:rsidRPr="00A170B5">
              <w:rPr>
                <w:b/>
                <w:lang w:val="uk-UA"/>
              </w:rPr>
              <w:t>):</w:t>
            </w:r>
          </w:p>
          <w:p w14:paraId="08747A4B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7784342F" w14:textId="77777777" w:rsidR="00A170B5" w:rsidRPr="00A170B5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 xml:space="preserve"> 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25D2DDF8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 xml:space="preserve"> 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259A4657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2A8949E1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</w:p>
          <w:p w14:paraId="049F86AC" w14:textId="77777777" w:rsidR="00073DB9" w:rsidRPr="00A62689" w:rsidRDefault="00073DB9" w:rsidP="00073DB9">
            <w:pPr>
              <w:jc w:val="center"/>
              <w:rPr>
                <w:lang w:val="uk-UA"/>
              </w:rPr>
            </w:pPr>
            <w:r w:rsidRPr="00A62689">
              <w:rPr>
                <w:lang w:val="uk-UA"/>
              </w:rPr>
              <w:t>Начальник відділу з питань дизайну міського середовища Управління архітектури, містобудування та охорони культурної спадщини громади Сумської міської ради</w:t>
            </w:r>
          </w:p>
          <w:p w14:paraId="76FE2722" w14:textId="77777777" w:rsidR="00073DB9" w:rsidRPr="00A62689" w:rsidRDefault="00073DB9" w:rsidP="00073DB9">
            <w:pPr>
              <w:jc w:val="center"/>
              <w:rPr>
                <w:lang w:val="uk-UA"/>
              </w:rPr>
            </w:pPr>
            <w:r w:rsidRPr="00A62689">
              <w:rPr>
                <w:lang w:val="uk-UA"/>
              </w:rPr>
              <w:t>телефон 700 413, 700 139</w:t>
            </w:r>
          </w:p>
          <w:p w14:paraId="1E573E5A" w14:textId="0F303B77" w:rsidR="00A170B5" w:rsidRPr="008803D6" w:rsidRDefault="00073DB9" w:rsidP="00073DB9">
            <w:pPr>
              <w:jc w:val="center"/>
            </w:pPr>
            <w:r w:rsidRPr="00A62689">
              <w:rPr>
                <w:lang w:val="uk-UA"/>
              </w:rPr>
              <w:t>e-</w:t>
            </w:r>
            <w:proofErr w:type="spellStart"/>
            <w:r w:rsidRPr="00A62689">
              <w:rPr>
                <w:lang w:val="uk-UA"/>
              </w:rPr>
              <w:t>mail</w:t>
            </w:r>
            <w:proofErr w:type="spellEnd"/>
            <w:r w:rsidRPr="00A62689">
              <w:rPr>
                <w:lang w:val="uk-UA"/>
              </w:rPr>
              <w:t xml:space="preserve">: </w:t>
            </w:r>
            <w:r w:rsidRPr="00A62689">
              <w:rPr>
                <w:iCs/>
                <w:lang w:val="uk-UA"/>
              </w:rPr>
              <w:t>uamoks</w:t>
            </w:r>
            <w:hyperlink r:id="rId5" w:history="1">
              <w:r w:rsidRPr="00A62689">
                <w:rPr>
                  <w:iCs/>
                  <w:lang w:val="uk-UA"/>
                </w:rPr>
                <w:t>@smr.gov.ua</w:t>
              </w:r>
            </w:hyperlink>
          </w:p>
        </w:tc>
      </w:tr>
      <w:tr w:rsidR="00A170B5" w:rsidRPr="00800491" w14:paraId="2E6DE9FD" w14:textId="77777777" w:rsidTr="00073DB9">
        <w:tc>
          <w:tcPr>
            <w:tcW w:w="456" w:type="dxa"/>
          </w:tcPr>
          <w:p w14:paraId="536FADFE" w14:textId="77777777"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894" w:type="dxa"/>
            <w:gridSpan w:val="2"/>
          </w:tcPr>
          <w:p w14:paraId="7E72CCC6" w14:textId="77777777" w:rsidR="00A170B5" w:rsidRPr="007017C9" w:rsidRDefault="00A170B5" w:rsidP="00A170B5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1526D087" w14:textId="77777777" w:rsidR="00A170B5" w:rsidRPr="00A170B5" w:rsidRDefault="00A170B5" w:rsidP="00A170B5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телефон/факс 700-575</w:t>
            </w:r>
          </w:p>
          <w:p w14:paraId="0D1A839E" w14:textId="77777777" w:rsidR="00A170B5" w:rsidRPr="00A170B5" w:rsidRDefault="00A170B5" w:rsidP="00A170B5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700-574, 700-064</w:t>
            </w:r>
          </w:p>
          <w:p w14:paraId="4D37FD32" w14:textId="77777777" w:rsidR="00A170B5" w:rsidRPr="00A170B5" w:rsidRDefault="00800491" w:rsidP="00A170B5">
            <w:pPr>
              <w:jc w:val="center"/>
              <w:rPr>
                <w:lang w:val="uk-UA"/>
              </w:rPr>
            </w:pPr>
            <w:hyperlink r:id="rId6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14:paraId="77F934DD" w14:textId="77777777" w:rsidR="00A170B5" w:rsidRPr="00A170B5" w:rsidRDefault="00800491" w:rsidP="00A170B5">
            <w:pPr>
              <w:jc w:val="center"/>
              <w:rPr>
                <w:lang w:val="uk-UA"/>
              </w:rPr>
            </w:pPr>
            <w:hyperlink r:id="rId7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A170B5" w:rsidRPr="00B15A3A" w14:paraId="725C87C5" w14:textId="77777777" w:rsidTr="00073DB9">
        <w:tc>
          <w:tcPr>
            <w:tcW w:w="9628" w:type="dxa"/>
            <w:gridSpan w:val="5"/>
            <w:vAlign w:val="center"/>
          </w:tcPr>
          <w:p w14:paraId="49B6515F" w14:textId="77777777" w:rsidR="00A170B5" w:rsidRPr="00B15A3A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A170B5" w:rsidRPr="00671C31" w14:paraId="5BC01C84" w14:textId="77777777" w:rsidTr="00073DB9">
        <w:tc>
          <w:tcPr>
            <w:tcW w:w="456" w:type="dxa"/>
          </w:tcPr>
          <w:p w14:paraId="62D17DBC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  <w:gridSpan w:val="2"/>
          </w:tcPr>
          <w:p w14:paraId="19D1882A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 </w:t>
            </w:r>
          </w:p>
          <w:p w14:paraId="16617832" w14:textId="77777777" w:rsidR="00A170B5" w:rsidRPr="00CE526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278" w:type="dxa"/>
            <w:gridSpan w:val="2"/>
          </w:tcPr>
          <w:p w14:paraId="344CCDD6" w14:textId="77777777" w:rsidR="00181888" w:rsidRDefault="00181888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14:paraId="0DA503E6" w14:textId="77777777" w:rsidR="00A170B5" w:rsidRDefault="00A170B5" w:rsidP="006757EC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регулювання містобудівної діяльності» (далі – Закон)</w:t>
            </w:r>
          </w:p>
          <w:p w14:paraId="01816303" w14:textId="4A268D5B" w:rsidR="00671C31" w:rsidRPr="00591311" w:rsidRDefault="00671C31" w:rsidP="00671C31">
            <w:pPr>
              <w:pStyle w:val="21"/>
              <w:ind w:firstLine="0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адміністративну процедуру»</w:t>
            </w:r>
          </w:p>
        </w:tc>
      </w:tr>
      <w:tr w:rsidR="00A170B5" w:rsidRPr="006B66B1" w14:paraId="71FB4B2E" w14:textId="77777777" w:rsidTr="00073DB9">
        <w:tc>
          <w:tcPr>
            <w:tcW w:w="456" w:type="dxa"/>
          </w:tcPr>
          <w:p w14:paraId="7412D728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  <w:gridSpan w:val="2"/>
          </w:tcPr>
          <w:p w14:paraId="11D511B8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278" w:type="dxa"/>
            <w:gridSpan w:val="2"/>
          </w:tcPr>
          <w:p w14:paraId="361580CF" w14:textId="77777777" w:rsidR="00A170B5" w:rsidRPr="00F41ED8" w:rsidRDefault="00DD477F" w:rsidP="00DD477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A170B5" w:rsidRPr="00800491" w14:paraId="39D164F8" w14:textId="77777777" w:rsidTr="00073DB9">
        <w:tc>
          <w:tcPr>
            <w:tcW w:w="456" w:type="dxa"/>
          </w:tcPr>
          <w:p w14:paraId="50801693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  <w:gridSpan w:val="2"/>
          </w:tcPr>
          <w:p w14:paraId="5CEEF0C6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278" w:type="dxa"/>
            <w:gridSpan w:val="2"/>
          </w:tcPr>
          <w:p w14:paraId="5597C0EF" w14:textId="77777777" w:rsidR="00A170B5" w:rsidRPr="00D60D54" w:rsidRDefault="00D60D54" w:rsidP="00A063B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 w:rsidR="006561B6"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</w:p>
        </w:tc>
      </w:tr>
      <w:tr w:rsidR="00A170B5" w:rsidRPr="00800491" w14:paraId="38B6D972" w14:textId="77777777" w:rsidTr="00073DB9">
        <w:trPr>
          <w:trHeight w:val="1218"/>
        </w:trPr>
        <w:tc>
          <w:tcPr>
            <w:tcW w:w="456" w:type="dxa"/>
          </w:tcPr>
          <w:p w14:paraId="311B5742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894" w:type="dxa"/>
            <w:gridSpan w:val="2"/>
          </w:tcPr>
          <w:p w14:paraId="00EF5EAA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 xml:space="preserve">ганів місцевого самоврядування </w:t>
            </w:r>
          </w:p>
        </w:tc>
        <w:tc>
          <w:tcPr>
            <w:tcW w:w="6278" w:type="dxa"/>
            <w:gridSpan w:val="2"/>
          </w:tcPr>
          <w:p w14:paraId="7A0F5182" w14:textId="77777777" w:rsidR="00A170B5" w:rsidRPr="00992330" w:rsidRDefault="00D60D54" w:rsidP="00D60D54">
            <w:pPr>
              <w:pStyle w:val="21"/>
              <w:ind w:firstLine="0"/>
              <w:rPr>
                <w:b/>
                <w:bCs/>
                <w:sz w:val="24"/>
              </w:rPr>
            </w:pPr>
            <w:r w:rsidRPr="00D60D54">
              <w:rPr>
                <w:bCs/>
                <w:sz w:val="24"/>
              </w:rPr>
              <w:t>Правила розміщення тимчасових споруд для провадження підприємницької діяльності на території міста Суми, затверджені рішенням Сумської міської ради від 30 листопада 2016 року № 1498-МР</w:t>
            </w:r>
          </w:p>
        </w:tc>
      </w:tr>
      <w:tr w:rsidR="00181888" w:rsidRPr="00B15A3A" w14:paraId="43032A40" w14:textId="77777777" w:rsidTr="00073DB9">
        <w:trPr>
          <w:trHeight w:val="380"/>
        </w:trPr>
        <w:tc>
          <w:tcPr>
            <w:tcW w:w="9628" w:type="dxa"/>
            <w:gridSpan w:val="5"/>
            <w:vAlign w:val="center"/>
          </w:tcPr>
          <w:p w14:paraId="59C0BB1C" w14:textId="77777777" w:rsidR="00181888" w:rsidRPr="007017C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14:paraId="51D71310" w14:textId="77777777" w:rsidR="00181888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28FF4F9F" w14:textId="77777777" w:rsidTr="00073DB9">
        <w:trPr>
          <w:trHeight w:val="735"/>
        </w:trPr>
        <w:tc>
          <w:tcPr>
            <w:tcW w:w="456" w:type="dxa"/>
            <w:vAlign w:val="center"/>
          </w:tcPr>
          <w:p w14:paraId="6B78A021" w14:textId="77777777"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894" w:type="dxa"/>
            <w:gridSpan w:val="2"/>
            <w:vAlign w:val="center"/>
          </w:tcPr>
          <w:p w14:paraId="0DA40BC0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278" w:type="dxa"/>
            <w:gridSpan w:val="2"/>
            <w:vAlign w:val="center"/>
          </w:tcPr>
          <w:p w14:paraId="69637EAB" w14:textId="77777777" w:rsidR="00A170B5" w:rsidRPr="0008316F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2A6C8D" w14:paraId="7EE729E1" w14:textId="77777777" w:rsidTr="00073DB9">
        <w:tc>
          <w:tcPr>
            <w:tcW w:w="456" w:type="dxa"/>
          </w:tcPr>
          <w:p w14:paraId="659E5702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94" w:type="dxa"/>
            <w:gridSpan w:val="2"/>
          </w:tcPr>
          <w:p w14:paraId="067CD62D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278" w:type="dxa"/>
            <w:gridSpan w:val="2"/>
          </w:tcPr>
          <w:p w14:paraId="7E3125C8" w14:textId="77777777" w:rsidR="00CE270A" w:rsidRPr="00DD477F" w:rsidRDefault="00CE270A" w:rsidP="00CE270A">
            <w:pPr>
              <w:ind w:firstLine="540"/>
              <w:jc w:val="both"/>
              <w:rPr>
                <w:b/>
                <w:lang w:val="uk-UA"/>
              </w:rPr>
            </w:pPr>
            <w:r w:rsidRPr="00B67C5F">
              <w:rPr>
                <w:b/>
                <w:lang w:val="uk-UA"/>
              </w:rPr>
              <w:t xml:space="preserve">Для </w:t>
            </w:r>
            <w:r w:rsidR="00A60BA1" w:rsidRPr="00B67C5F">
              <w:rPr>
                <w:b/>
                <w:lang w:val="uk-UA"/>
              </w:rPr>
              <w:t>оформлення</w:t>
            </w:r>
            <w:r w:rsidR="00A60BA1" w:rsidRPr="00A60BA1">
              <w:rPr>
                <w:b/>
                <w:lang w:val="uk-UA"/>
              </w:rPr>
              <w:t xml:space="preserve"> паспорта прив’язки </w:t>
            </w:r>
            <w:r w:rsidR="00A60BA1">
              <w:rPr>
                <w:b/>
                <w:lang w:val="uk-UA"/>
              </w:rPr>
              <w:t>тимчасової споруди (далі - ТС)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14:paraId="3E8354A7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>- схему розміщення ТС;</w:t>
            </w:r>
          </w:p>
          <w:p w14:paraId="4F537331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 xml:space="preserve">- </w:t>
            </w:r>
            <w:r w:rsidR="006561B6" w:rsidRPr="006561B6">
              <w:rPr>
                <w:rStyle w:val="a9"/>
                <w:b w:val="0"/>
                <w:lang w:val="uk-UA"/>
              </w:rPr>
              <w:t xml:space="preserve">ескізи фасадів </w:t>
            </w:r>
            <w:r w:rsidR="006561B6">
              <w:rPr>
                <w:rStyle w:val="a9"/>
                <w:b w:val="0"/>
                <w:lang w:val="uk-UA"/>
              </w:rPr>
              <w:t>ТС</w:t>
            </w:r>
            <w:r w:rsidR="006561B6" w:rsidRPr="006561B6">
              <w:rPr>
                <w:rStyle w:val="a9"/>
                <w:b w:val="0"/>
                <w:lang w:val="uk-UA"/>
              </w:rPr>
              <w:t xml:space="preserve"> у кольорі М 1:50 (для стаціонарних </w:t>
            </w:r>
            <w:r w:rsidR="006561B6">
              <w:rPr>
                <w:rStyle w:val="a9"/>
                <w:b w:val="0"/>
                <w:lang w:val="uk-UA"/>
              </w:rPr>
              <w:t>ТС</w:t>
            </w:r>
            <w:r w:rsidR="006561B6" w:rsidRPr="006561B6">
              <w:rPr>
                <w:rStyle w:val="a9"/>
                <w:b w:val="0"/>
                <w:lang w:val="uk-UA"/>
              </w:rPr>
              <w:t>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Pr="00A60BA1">
              <w:rPr>
                <w:lang w:val="uk-UA"/>
              </w:rPr>
              <w:t>;</w:t>
            </w:r>
          </w:p>
          <w:p w14:paraId="4F77078D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>- технічні умови щодо інженерного забезпечення ТС (за наявності), отримані замовником у балансоутримувача відповідних інженерних мереж.</w:t>
            </w:r>
          </w:p>
          <w:p w14:paraId="24698384" w14:textId="77777777" w:rsidR="00A170B5" w:rsidRPr="00A60BA1" w:rsidRDefault="00CE270A" w:rsidP="00A60BA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</w:t>
            </w:r>
            <w:r w:rsidR="00A60BA1" w:rsidRPr="00A60BA1">
              <w:rPr>
                <w:rFonts w:ascii="Times New Roman" w:hAnsi="Times New Roman"/>
                <w:b/>
                <w:sz w:val="24"/>
                <w:szCs w:val="24"/>
              </w:rPr>
              <w:t>оформлення паспорта прив’язки ТС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14:paraId="07E8EAC3" w14:textId="77777777" w:rsidTr="00073DB9">
        <w:tc>
          <w:tcPr>
            <w:tcW w:w="456" w:type="dxa"/>
            <w:vAlign w:val="center"/>
          </w:tcPr>
          <w:p w14:paraId="053E8F28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894" w:type="dxa"/>
            <w:gridSpan w:val="2"/>
            <w:vAlign w:val="center"/>
          </w:tcPr>
          <w:p w14:paraId="4C06B318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 xml:space="preserve">Порядок та спосіб надання документів, </w:t>
            </w:r>
            <w:r w:rsidRPr="00BD6062">
              <w:rPr>
                <w:bCs/>
                <w:sz w:val="24"/>
              </w:rPr>
              <w:lastRenderedPageBreak/>
              <w:t>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278" w:type="dxa"/>
            <w:gridSpan w:val="2"/>
          </w:tcPr>
          <w:p w14:paraId="38117716" w14:textId="77777777" w:rsidR="00A170B5" w:rsidRPr="009C772F" w:rsidRDefault="00A170B5" w:rsidP="00A170B5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lastRenderedPageBreak/>
              <w:t>Подаються безпосередньо</w:t>
            </w:r>
          </w:p>
          <w:p w14:paraId="111258E4" w14:textId="77777777" w:rsidR="00A170B5" w:rsidRPr="009C772F" w:rsidRDefault="00A60BA1" w:rsidP="00A170B5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lastRenderedPageBreak/>
              <w:t>замовником паспорта прив’язки</w:t>
            </w:r>
            <w:r w:rsidR="00A170B5" w:rsidRPr="009C772F">
              <w:rPr>
                <w:rStyle w:val="apple-style-span"/>
                <w:lang w:val="uk-UA"/>
              </w:rPr>
              <w:t xml:space="preserve"> (</w:t>
            </w:r>
            <w:r w:rsidR="00A170B5">
              <w:rPr>
                <w:rStyle w:val="apple-style-span"/>
                <w:lang w:val="uk-UA"/>
              </w:rPr>
              <w:t>його</w:t>
            </w:r>
            <w:r w:rsidR="00A170B5" w:rsidRPr="009C772F">
              <w:rPr>
                <w:rStyle w:val="apple-style-span"/>
                <w:lang w:val="uk-UA"/>
              </w:rPr>
              <w:t xml:space="preserve"> представник</w:t>
            </w:r>
            <w:r w:rsidR="00A170B5">
              <w:rPr>
                <w:rStyle w:val="apple-style-span"/>
                <w:lang w:val="uk-UA"/>
              </w:rPr>
              <w:t>ом</w:t>
            </w:r>
            <w:r w:rsidR="00A170B5"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14:paraId="595FDC8B" w14:textId="77777777" w:rsidTr="00073DB9">
        <w:tc>
          <w:tcPr>
            <w:tcW w:w="456" w:type="dxa"/>
          </w:tcPr>
          <w:p w14:paraId="0D82FCB5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11</w:t>
            </w:r>
          </w:p>
        </w:tc>
        <w:tc>
          <w:tcPr>
            <w:tcW w:w="2894" w:type="dxa"/>
            <w:gridSpan w:val="2"/>
          </w:tcPr>
          <w:p w14:paraId="75255244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278" w:type="dxa"/>
            <w:gridSpan w:val="2"/>
          </w:tcPr>
          <w:p w14:paraId="33D1E27B" w14:textId="77777777"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15EA5231" w14:textId="77777777" w:rsidR="00A170B5" w:rsidRPr="00FF0FD2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14:paraId="67B5E5A8" w14:textId="77777777" w:rsidTr="00073DB9">
        <w:tc>
          <w:tcPr>
            <w:tcW w:w="456" w:type="dxa"/>
          </w:tcPr>
          <w:p w14:paraId="4D9CA9EB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894" w:type="dxa"/>
            <w:gridSpan w:val="2"/>
          </w:tcPr>
          <w:p w14:paraId="0E2F8C05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511B41A8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="00A60BA1"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1DB29975" w14:textId="77777777"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170B5" w:rsidRPr="00DA4AD1" w14:paraId="4F296B42" w14:textId="77777777" w:rsidTr="00073DB9">
        <w:tc>
          <w:tcPr>
            <w:tcW w:w="456" w:type="dxa"/>
          </w:tcPr>
          <w:p w14:paraId="48385B29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894" w:type="dxa"/>
            <w:gridSpan w:val="2"/>
          </w:tcPr>
          <w:p w14:paraId="350E1AC6" w14:textId="77777777" w:rsidR="00A170B5" w:rsidRPr="00BD6062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278" w:type="dxa"/>
            <w:gridSpan w:val="2"/>
          </w:tcPr>
          <w:p w14:paraId="7925E076" w14:textId="77777777" w:rsidR="00A60BA1" w:rsidRDefault="00A60BA1" w:rsidP="00A170B5">
            <w:pPr>
              <w:ind w:firstLine="450"/>
              <w:jc w:val="both"/>
              <w:rPr>
                <w:b/>
              </w:rPr>
            </w:pPr>
            <w:r w:rsidRPr="00A60BA1">
              <w:rPr>
                <w:b/>
              </w:rPr>
              <w:t xml:space="preserve">Паспорт </w:t>
            </w:r>
            <w:proofErr w:type="spellStart"/>
            <w:r w:rsidRPr="00A60BA1">
              <w:rPr>
                <w:b/>
              </w:rPr>
              <w:t>прив’язки</w:t>
            </w:r>
            <w:proofErr w:type="spellEnd"/>
            <w:r w:rsidRPr="00A60BA1">
              <w:rPr>
                <w:b/>
              </w:rPr>
              <w:t xml:space="preserve"> ТС не </w:t>
            </w:r>
            <w:proofErr w:type="spellStart"/>
            <w:r w:rsidRPr="00A60BA1">
              <w:rPr>
                <w:b/>
              </w:rPr>
              <w:t>надається</w:t>
            </w:r>
            <w:proofErr w:type="spellEnd"/>
            <w:r w:rsidRPr="00A60BA1">
              <w:rPr>
                <w:b/>
              </w:rPr>
              <w:t xml:space="preserve"> за умов:</w:t>
            </w:r>
            <w:bookmarkStart w:id="0" w:name="n1664"/>
            <w:bookmarkEnd w:id="0"/>
          </w:p>
          <w:p w14:paraId="3D211A76" w14:textId="77777777" w:rsidR="00A60BA1" w:rsidRPr="00A60BA1" w:rsidRDefault="00A60BA1" w:rsidP="00A60BA1">
            <w:pPr>
              <w:ind w:firstLine="450"/>
              <w:jc w:val="both"/>
              <w:rPr>
                <w:bCs/>
              </w:rPr>
            </w:pPr>
            <w:r w:rsidRPr="00A60BA1">
              <w:rPr>
                <w:bCs/>
              </w:rPr>
              <w:t xml:space="preserve">- </w:t>
            </w:r>
            <w:proofErr w:type="spellStart"/>
            <w:r w:rsidRPr="00A60BA1">
              <w:rPr>
                <w:bCs/>
              </w:rPr>
              <w:t>подання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неповного</w:t>
            </w:r>
            <w:proofErr w:type="spellEnd"/>
            <w:r w:rsidRPr="00A60BA1">
              <w:rPr>
                <w:bCs/>
              </w:rPr>
              <w:t xml:space="preserve"> пакета </w:t>
            </w:r>
            <w:proofErr w:type="spellStart"/>
            <w:r w:rsidRPr="00A60BA1">
              <w:rPr>
                <w:bCs/>
              </w:rPr>
              <w:t>документів</w:t>
            </w:r>
            <w:proofErr w:type="spellEnd"/>
            <w:r w:rsidRPr="00A60BA1">
              <w:rPr>
                <w:bCs/>
              </w:rPr>
              <w:t>;</w:t>
            </w:r>
          </w:p>
          <w:p w14:paraId="3A00E3A1" w14:textId="77777777" w:rsidR="00A170B5" w:rsidRPr="00DE5E5C" w:rsidRDefault="00A60BA1" w:rsidP="00A60BA1">
            <w:pPr>
              <w:ind w:firstLine="450"/>
              <w:jc w:val="both"/>
              <w:rPr>
                <w:bCs/>
              </w:rPr>
            </w:pPr>
            <w:r w:rsidRPr="00A60BA1">
              <w:rPr>
                <w:bCs/>
              </w:rPr>
              <w:t xml:space="preserve">- </w:t>
            </w:r>
            <w:proofErr w:type="spellStart"/>
            <w:r w:rsidRPr="00A60BA1">
              <w:rPr>
                <w:bCs/>
              </w:rPr>
              <w:t>подання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недостовірних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відомостей</w:t>
            </w:r>
            <w:proofErr w:type="spellEnd"/>
          </w:p>
        </w:tc>
      </w:tr>
      <w:tr w:rsidR="00A170B5" w:rsidRPr="00D60D54" w14:paraId="095E9265" w14:textId="77777777" w:rsidTr="00073DB9">
        <w:tc>
          <w:tcPr>
            <w:tcW w:w="456" w:type="dxa"/>
          </w:tcPr>
          <w:p w14:paraId="03049FAB" w14:textId="77777777"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  <w:gridSpan w:val="2"/>
          </w:tcPr>
          <w:p w14:paraId="636E0AAE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278" w:type="dxa"/>
            <w:gridSpan w:val="2"/>
          </w:tcPr>
          <w:p w14:paraId="0F9CB1D3" w14:textId="77777777" w:rsidR="00A170B5" w:rsidRPr="002A6C8D" w:rsidRDefault="003349E4" w:rsidP="00E53F7F">
            <w:pPr>
              <w:jc w:val="center"/>
              <w:rPr>
                <w:bCs/>
                <w:lang w:val="uk-UA"/>
              </w:rPr>
            </w:pPr>
            <w:r w:rsidRPr="003349E4">
              <w:rPr>
                <w:bCs/>
                <w:lang w:val="uk-UA"/>
              </w:rPr>
              <w:t>Надання паспорту прив’язки ТС</w:t>
            </w:r>
          </w:p>
        </w:tc>
      </w:tr>
      <w:tr w:rsidR="00A85C64" w:rsidRPr="00B15A3A" w14:paraId="7C571488" w14:textId="77777777" w:rsidTr="00073DB9">
        <w:tc>
          <w:tcPr>
            <w:tcW w:w="456" w:type="dxa"/>
          </w:tcPr>
          <w:p w14:paraId="0C22DCA6" w14:textId="77777777" w:rsidR="00A85C64" w:rsidRPr="00BC027E" w:rsidRDefault="00A85C64" w:rsidP="00A85C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C027E">
              <w:rPr>
                <w:bCs/>
                <w:sz w:val="24"/>
              </w:rPr>
              <w:t xml:space="preserve"> </w:t>
            </w:r>
          </w:p>
        </w:tc>
        <w:tc>
          <w:tcPr>
            <w:tcW w:w="2894" w:type="dxa"/>
            <w:gridSpan w:val="2"/>
          </w:tcPr>
          <w:p w14:paraId="3077895F" w14:textId="77777777" w:rsidR="00A85C64" w:rsidRPr="00BD6062" w:rsidRDefault="00A85C64" w:rsidP="00A85C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278" w:type="dxa"/>
            <w:gridSpan w:val="2"/>
          </w:tcPr>
          <w:p w14:paraId="74DDDCC5" w14:textId="77777777" w:rsidR="00A85C64" w:rsidRDefault="00A85C64" w:rsidP="00E53F7F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3349E4">
              <w:rPr>
                <w:rStyle w:val="apple-style-span"/>
                <w:sz w:val="24"/>
              </w:rPr>
              <w:t>замовник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 xml:space="preserve"> паспорта прив’язки (його представник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>)</w:t>
            </w:r>
          </w:p>
          <w:p w14:paraId="7E6B7AE8" w14:textId="77777777" w:rsidR="00A85C64" w:rsidRPr="00BC027E" w:rsidRDefault="00A85C64" w:rsidP="00E53F7F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073DB9" w:rsidRPr="00800491" w14:paraId="1E659A18" w14:textId="77777777" w:rsidTr="00073DB9">
        <w:tc>
          <w:tcPr>
            <w:tcW w:w="516" w:type="dxa"/>
            <w:gridSpan w:val="2"/>
          </w:tcPr>
          <w:p w14:paraId="773ECCD1" w14:textId="77777777" w:rsidR="00073DB9" w:rsidRPr="00BC027E" w:rsidRDefault="00073DB9" w:rsidP="00FE534C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16.</w:t>
            </w:r>
          </w:p>
        </w:tc>
        <w:tc>
          <w:tcPr>
            <w:tcW w:w="2885" w:type="dxa"/>
            <w:gridSpan w:val="2"/>
          </w:tcPr>
          <w:p w14:paraId="3F446DD4" w14:textId="77777777" w:rsidR="00073DB9" w:rsidRPr="00BD6062" w:rsidRDefault="00073DB9" w:rsidP="00FE534C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229" w:type="dxa"/>
          </w:tcPr>
          <w:p w14:paraId="3F363A41" w14:textId="608EE723" w:rsidR="00073DB9" w:rsidRPr="00BC027E" w:rsidRDefault="00073DB9" w:rsidP="00073DB9">
            <w:pPr>
              <w:pStyle w:val="21"/>
              <w:ind w:firstLine="0"/>
              <w:rPr>
                <w:bCs/>
                <w:sz w:val="24"/>
              </w:rPr>
            </w:pPr>
            <w:r w:rsidRPr="00CC2E7C">
              <w:rPr>
                <w:b/>
                <w:bCs/>
                <w:sz w:val="24"/>
              </w:rPr>
              <w:t>Відмова</w:t>
            </w:r>
            <w:r>
              <w:rPr>
                <w:bCs/>
                <w:sz w:val="24"/>
              </w:rPr>
              <w:t xml:space="preserve"> у оформленні паспорта </w:t>
            </w:r>
            <w:r w:rsidR="000F3D4C">
              <w:rPr>
                <w:bCs/>
                <w:sz w:val="24"/>
              </w:rPr>
              <w:t>прив’язки</w:t>
            </w:r>
            <w:r>
              <w:rPr>
                <w:bCs/>
                <w:sz w:val="24"/>
              </w:rPr>
              <w:t xml:space="preserve"> тимчасової споруди для провадження підприємницької діяльності може бути</w:t>
            </w:r>
            <w:r w:rsidRPr="00CC2E7C">
              <w:rPr>
                <w:b/>
                <w:bCs/>
                <w:sz w:val="24"/>
              </w:rPr>
              <w:t xml:space="preserve"> оск</w:t>
            </w:r>
            <w:r>
              <w:rPr>
                <w:b/>
                <w:bCs/>
                <w:sz w:val="24"/>
              </w:rPr>
              <w:t>аржена в  судовому порядку</w:t>
            </w:r>
            <w:r w:rsidRPr="00CC2E7C"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або в порядку визначеному Законом України «Про адміністративну процедуру» шляхом подання до адміністративного органу </w:t>
            </w:r>
            <w:r w:rsidRPr="00A2669F">
              <w:rPr>
                <w:bCs/>
                <w:sz w:val="24"/>
              </w:rPr>
              <w:t>(У</w:t>
            </w:r>
            <w:r w:rsidRPr="00E170FF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E170FF">
              <w:rPr>
                <w:bCs/>
                <w:sz w:val="24"/>
              </w:rPr>
              <w:t>заяви</w:t>
            </w:r>
            <w:r>
              <w:rPr>
                <w:bCs/>
                <w:sz w:val="24"/>
              </w:rPr>
              <w:t xml:space="preserve"> з вимогою прийняти адміністративний акт. </w:t>
            </w:r>
          </w:p>
        </w:tc>
      </w:tr>
    </w:tbl>
    <w:p w14:paraId="3AD55353" w14:textId="77777777" w:rsidR="00073DB9" w:rsidRDefault="00073DB9" w:rsidP="00073DB9">
      <w:pPr>
        <w:pStyle w:val="21"/>
        <w:ind w:firstLine="0"/>
        <w:jc w:val="left"/>
        <w:rPr>
          <w:b/>
          <w:bCs/>
          <w:szCs w:val="28"/>
        </w:rPr>
      </w:pPr>
    </w:p>
    <w:p w14:paraId="510BF14C" w14:textId="6B2B7FAE" w:rsidR="00073DB9" w:rsidRDefault="00073DB9" w:rsidP="00073DB9">
      <w:pPr>
        <w:pStyle w:val="21"/>
        <w:ind w:firstLine="0"/>
        <w:jc w:val="left"/>
        <w:rPr>
          <w:b/>
          <w:bCs/>
          <w:szCs w:val="28"/>
        </w:rPr>
      </w:pPr>
    </w:p>
    <w:p w14:paraId="7ECE1B83" w14:textId="77777777" w:rsidR="00073DB9" w:rsidRDefault="00073DB9" w:rsidP="00073DB9">
      <w:pPr>
        <w:pStyle w:val="21"/>
        <w:ind w:firstLine="0"/>
        <w:jc w:val="left"/>
        <w:rPr>
          <w:b/>
          <w:bCs/>
          <w:szCs w:val="28"/>
        </w:rPr>
      </w:pPr>
    </w:p>
    <w:p w14:paraId="5234DBC2" w14:textId="77777777" w:rsidR="00073DB9" w:rsidRDefault="00073DB9" w:rsidP="00073DB9">
      <w:pPr>
        <w:pStyle w:val="21"/>
        <w:ind w:firstLine="0"/>
        <w:jc w:val="left"/>
        <w:rPr>
          <w:b/>
          <w:bCs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03"/>
        <w:gridCol w:w="3040"/>
      </w:tblGrid>
      <w:tr w:rsidR="00114497" w14:paraId="78288FC4" w14:textId="77777777" w:rsidTr="000005DC">
        <w:tc>
          <w:tcPr>
            <w:tcW w:w="4395" w:type="dxa"/>
            <w:hideMark/>
          </w:tcPr>
          <w:p w14:paraId="7F1C1745" w14:textId="5A17A2BD" w:rsidR="00114497" w:rsidRDefault="00800491">
            <w:pPr>
              <w:jc w:val="both"/>
            </w:pPr>
            <w:r>
              <w:rPr>
                <w:b/>
                <w:color w:val="000000" w:themeColor="text1"/>
              </w:rPr>
              <w:t xml:space="preserve">Начальник управління </w:t>
            </w:r>
            <w:r>
              <w:rPr>
                <w:b/>
                <w:bCs/>
                <w:color w:val="000000" w:themeColor="text1"/>
              </w:rPr>
              <w:t>– головний архітектор Управління</w:t>
            </w:r>
            <w:r>
              <w:rPr>
                <w:b/>
                <w:color w:val="000000" w:themeColor="text1"/>
              </w:rPr>
              <w:t xml:space="preserve"> архітектури</w:t>
            </w:r>
            <w:r>
              <w:rPr>
                <w:b/>
              </w:rPr>
              <w:t>, містобудування та охорони культурної спадщини громади Сумської міської ради</w:t>
            </w:r>
          </w:p>
        </w:tc>
        <w:tc>
          <w:tcPr>
            <w:tcW w:w="2203" w:type="dxa"/>
          </w:tcPr>
          <w:p w14:paraId="73B5AC59" w14:textId="77777777" w:rsidR="00114497" w:rsidRDefault="00114497">
            <w:pPr>
              <w:jc w:val="both"/>
            </w:pPr>
          </w:p>
        </w:tc>
        <w:tc>
          <w:tcPr>
            <w:tcW w:w="3040" w:type="dxa"/>
          </w:tcPr>
          <w:p w14:paraId="1BA1BCF5" w14:textId="77777777" w:rsidR="00114497" w:rsidRDefault="00114497">
            <w:pPr>
              <w:jc w:val="both"/>
              <w:rPr>
                <w:b/>
              </w:rPr>
            </w:pPr>
          </w:p>
          <w:p w14:paraId="26DAC8C4" w14:textId="20646DAA" w:rsidR="00114497" w:rsidRDefault="00114497">
            <w:pPr>
              <w:jc w:val="both"/>
              <w:rPr>
                <w:b/>
              </w:rPr>
            </w:pPr>
          </w:p>
          <w:p w14:paraId="3E7C0C27" w14:textId="57CB1795" w:rsidR="00114497" w:rsidRDefault="00114497">
            <w:pPr>
              <w:jc w:val="both"/>
              <w:rPr>
                <w:b/>
              </w:rPr>
            </w:pPr>
          </w:p>
          <w:p w14:paraId="255490B0" w14:textId="77777777" w:rsidR="00800491" w:rsidRDefault="00800491">
            <w:pPr>
              <w:jc w:val="both"/>
              <w:rPr>
                <w:b/>
              </w:rPr>
            </w:pPr>
            <w:bookmarkStart w:id="1" w:name="_GoBack"/>
            <w:bookmarkEnd w:id="1"/>
          </w:p>
          <w:p w14:paraId="3254BECD" w14:textId="77777777" w:rsidR="00114497" w:rsidRDefault="00114497">
            <w:pPr>
              <w:jc w:val="both"/>
            </w:pPr>
            <w:r>
              <w:rPr>
                <w:b/>
              </w:rPr>
              <w:t>Юрій НІКОЛАЄНКО</w:t>
            </w:r>
          </w:p>
        </w:tc>
      </w:tr>
    </w:tbl>
    <w:p w14:paraId="5E5834DB" w14:textId="77777777" w:rsidR="00073DB9" w:rsidRPr="00F15540" w:rsidRDefault="00073DB9" w:rsidP="00073DB9">
      <w:pPr>
        <w:pStyle w:val="21"/>
        <w:ind w:firstLine="0"/>
        <w:jc w:val="left"/>
        <w:rPr>
          <w:b/>
          <w:bCs/>
          <w:szCs w:val="28"/>
        </w:rPr>
      </w:pPr>
    </w:p>
    <w:p w14:paraId="641AEA81" w14:textId="07284F96" w:rsidR="00500EC1" w:rsidRDefault="00500EC1" w:rsidP="00E90996">
      <w:pPr>
        <w:jc w:val="both"/>
        <w:rPr>
          <w:b/>
          <w:bCs/>
          <w:sz w:val="28"/>
          <w:szCs w:val="28"/>
          <w:lang w:val="uk-UA"/>
        </w:rPr>
      </w:pPr>
    </w:p>
    <w:sectPr w:rsidR="00500EC1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5DC"/>
    <w:rsid w:val="00000ED7"/>
    <w:rsid w:val="00073DB9"/>
    <w:rsid w:val="000F3D4C"/>
    <w:rsid w:val="000F430F"/>
    <w:rsid w:val="00114497"/>
    <w:rsid w:val="00130099"/>
    <w:rsid w:val="001315D1"/>
    <w:rsid w:val="001336E5"/>
    <w:rsid w:val="0013651E"/>
    <w:rsid w:val="00181888"/>
    <w:rsid w:val="00190304"/>
    <w:rsid w:val="00192F81"/>
    <w:rsid w:val="001B20C1"/>
    <w:rsid w:val="001C1FA1"/>
    <w:rsid w:val="001E0C37"/>
    <w:rsid w:val="0020733E"/>
    <w:rsid w:val="00213499"/>
    <w:rsid w:val="00215B10"/>
    <w:rsid w:val="002308D3"/>
    <w:rsid w:val="00255D44"/>
    <w:rsid w:val="00255D53"/>
    <w:rsid w:val="0025656E"/>
    <w:rsid w:val="0026378E"/>
    <w:rsid w:val="00273856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14913"/>
    <w:rsid w:val="003205CA"/>
    <w:rsid w:val="003349E4"/>
    <w:rsid w:val="00355F20"/>
    <w:rsid w:val="0036352F"/>
    <w:rsid w:val="00380645"/>
    <w:rsid w:val="003842B3"/>
    <w:rsid w:val="00387367"/>
    <w:rsid w:val="0039648C"/>
    <w:rsid w:val="003C3652"/>
    <w:rsid w:val="003E6E77"/>
    <w:rsid w:val="003F67D9"/>
    <w:rsid w:val="0040452E"/>
    <w:rsid w:val="00404B38"/>
    <w:rsid w:val="00411C5D"/>
    <w:rsid w:val="00414A44"/>
    <w:rsid w:val="00421E00"/>
    <w:rsid w:val="00440CD1"/>
    <w:rsid w:val="00486519"/>
    <w:rsid w:val="00500EC1"/>
    <w:rsid w:val="005142AE"/>
    <w:rsid w:val="00517542"/>
    <w:rsid w:val="005243B6"/>
    <w:rsid w:val="0056418A"/>
    <w:rsid w:val="005723E6"/>
    <w:rsid w:val="00591311"/>
    <w:rsid w:val="005A67F4"/>
    <w:rsid w:val="005A768A"/>
    <w:rsid w:val="005B2132"/>
    <w:rsid w:val="005D485A"/>
    <w:rsid w:val="005E5470"/>
    <w:rsid w:val="00600502"/>
    <w:rsid w:val="00602104"/>
    <w:rsid w:val="00630AC4"/>
    <w:rsid w:val="006433B1"/>
    <w:rsid w:val="006434DA"/>
    <w:rsid w:val="006561B6"/>
    <w:rsid w:val="00661B9A"/>
    <w:rsid w:val="00671C31"/>
    <w:rsid w:val="006757EC"/>
    <w:rsid w:val="0068115C"/>
    <w:rsid w:val="00682AFC"/>
    <w:rsid w:val="006B66B1"/>
    <w:rsid w:val="006D3316"/>
    <w:rsid w:val="006D3739"/>
    <w:rsid w:val="006E75AC"/>
    <w:rsid w:val="006F017E"/>
    <w:rsid w:val="006F387E"/>
    <w:rsid w:val="007141B5"/>
    <w:rsid w:val="00735949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0491"/>
    <w:rsid w:val="00805DE2"/>
    <w:rsid w:val="008440FD"/>
    <w:rsid w:val="00851FD3"/>
    <w:rsid w:val="008803D6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63B0"/>
    <w:rsid w:val="00A07C44"/>
    <w:rsid w:val="00A07D54"/>
    <w:rsid w:val="00A07F75"/>
    <w:rsid w:val="00A170B5"/>
    <w:rsid w:val="00A35147"/>
    <w:rsid w:val="00A60BA1"/>
    <w:rsid w:val="00A62689"/>
    <w:rsid w:val="00A65575"/>
    <w:rsid w:val="00A74355"/>
    <w:rsid w:val="00A85C64"/>
    <w:rsid w:val="00AA36C3"/>
    <w:rsid w:val="00AA7241"/>
    <w:rsid w:val="00AB3F49"/>
    <w:rsid w:val="00AC3C24"/>
    <w:rsid w:val="00AD1908"/>
    <w:rsid w:val="00AF103B"/>
    <w:rsid w:val="00AF7FD9"/>
    <w:rsid w:val="00B04498"/>
    <w:rsid w:val="00B04B29"/>
    <w:rsid w:val="00B06CAD"/>
    <w:rsid w:val="00B15A3A"/>
    <w:rsid w:val="00B438AB"/>
    <w:rsid w:val="00B54185"/>
    <w:rsid w:val="00B57EA7"/>
    <w:rsid w:val="00B67B1B"/>
    <w:rsid w:val="00B67C5F"/>
    <w:rsid w:val="00B74DE7"/>
    <w:rsid w:val="00B75393"/>
    <w:rsid w:val="00BA0AF8"/>
    <w:rsid w:val="00BB5F55"/>
    <w:rsid w:val="00BD4C0E"/>
    <w:rsid w:val="00BD6062"/>
    <w:rsid w:val="00C011DC"/>
    <w:rsid w:val="00C21BA2"/>
    <w:rsid w:val="00C532C7"/>
    <w:rsid w:val="00C61F30"/>
    <w:rsid w:val="00C91515"/>
    <w:rsid w:val="00CA28D5"/>
    <w:rsid w:val="00CB54C4"/>
    <w:rsid w:val="00CE270A"/>
    <w:rsid w:val="00CE526A"/>
    <w:rsid w:val="00CF50F1"/>
    <w:rsid w:val="00D01FFB"/>
    <w:rsid w:val="00D10DBA"/>
    <w:rsid w:val="00D2572A"/>
    <w:rsid w:val="00D37F8B"/>
    <w:rsid w:val="00D5441E"/>
    <w:rsid w:val="00D60D54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376AF"/>
    <w:rsid w:val="00E53F7F"/>
    <w:rsid w:val="00E600B7"/>
    <w:rsid w:val="00E62F08"/>
    <w:rsid w:val="00E640D7"/>
    <w:rsid w:val="00E648D6"/>
    <w:rsid w:val="00E67C4F"/>
    <w:rsid w:val="00E83BB0"/>
    <w:rsid w:val="00E90996"/>
    <w:rsid w:val="00EA36FA"/>
    <w:rsid w:val="00F05495"/>
    <w:rsid w:val="00F25601"/>
    <w:rsid w:val="00F35120"/>
    <w:rsid w:val="00F41ED8"/>
    <w:rsid w:val="00F442E2"/>
    <w:rsid w:val="00F75F50"/>
    <w:rsid w:val="00F84407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265F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D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a9">
    <w:name w:val="Strong"/>
    <w:basedOn w:val="a0"/>
    <w:qFormat/>
    <w:rsid w:val="006561B6"/>
    <w:rPr>
      <w:b/>
      <w:bCs/>
    </w:rPr>
  </w:style>
  <w:style w:type="paragraph" w:styleId="aa">
    <w:name w:val="Title"/>
    <w:basedOn w:val="1"/>
    <w:link w:val="ab"/>
    <w:qFormat/>
    <w:rsid w:val="00073DB9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uk-UA"/>
    </w:rPr>
  </w:style>
  <w:style w:type="character" w:customStyle="1" w:styleId="ab">
    <w:name w:val="Заголовок Знак"/>
    <w:basedOn w:val="a0"/>
    <w:link w:val="aa"/>
    <w:rsid w:val="00073DB9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73D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c">
    <w:name w:val="Table Grid"/>
    <w:basedOn w:val="a1"/>
    <w:uiPriority w:val="59"/>
    <w:rsid w:val="00114497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ap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hyperlink" Target="mailto:dresurs@smr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E655-FE32-4391-9335-F66D9C33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Парфененко Наталія Володимирівна</cp:lastModifiedBy>
  <cp:revision>30</cp:revision>
  <cp:lastPrinted>2019-07-04T06:29:00Z</cp:lastPrinted>
  <dcterms:created xsi:type="dcterms:W3CDTF">2021-09-21T13:31:00Z</dcterms:created>
  <dcterms:modified xsi:type="dcterms:W3CDTF">2025-11-24T08:28:00Z</dcterms:modified>
</cp:coreProperties>
</file>